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2E8B" w14:textId="0AEEB034" w:rsidR="00C1242D" w:rsidRPr="003C78D9" w:rsidRDefault="00990980" w:rsidP="003C78D9">
      <w:pPr>
        <w:jc w:val="center"/>
        <w:rPr>
          <w:b/>
          <w:sz w:val="28"/>
          <w:szCs w:val="28"/>
        </w:rPr>
      </w:pPr>
      <w:r w:rsidRPr="003C78D9">
        <w:rPr>
          <w:b/>
          <w:sz w:val="28"/>
          <w:szCs w:val="28"/>
        </w:rPr>
        <w:t>A</w:t>
      </w:r>
      <w:r w:rsidR="000855B6" w:rsidRPr="003C78D9">
        <w:rPr>
          <w:b/>
          <w:sz w:val="28"/>
          <w:szCs w:val="28"/>
        </w:rPr>
        <w:t xml:space="preserve">TTACHMENT </w:t>
      </w:r>
      <w:r w:rsidR="00EB74AF" w:rsidRPr="003C78D9">
        <w:rPr>
          <w:b/>
          <w:sz w:val="28"/>
          <w:szCs w:val="28"/>
        </w:rPr>
        <w:t>D</w:t>
      </w:r>
      <w:r w:rsidR="00965C4F" w:rsidRPr="003C78D9">
        <w:rPr>
          <w:b/>
          <w:sz w:val="28"/>
          <w:szCs w:val="28"/>
        </w:rPr>
        <w:t xml:space="preserve"> </w:t>
      </w:r>
      <w:r w:rsidR="00C1242D" w:rsidRPr="003C78D9">
        <w:rPr>
          <w:b/>
          <w:sz w:val="28"/>
          <w:szCs w:val="28"/>
        </w:rPr>
        <w:t xml:space="preserve">– </w:t>
      </w:r>
      <w:r w:rsidR="00EB74AF" w:rsidRPr="003C78D9">
        <w:rPr>
          <w:b/>
          <w:sz w:val="28"/>
          <w:szCs w:val="28"/>
        </w:rPr>
        <w:t>MDR</w:t>
      </w:r>
      <w:r w:rsidR="00CF43BC" w:rsidRPr="003C78D9">
        <w:rPr>
          <w:b/>
          <w:sz w:val="28"/>
          <w:szCs w:val="28"/>
        </w:rPr>
        <w:t xml:space="preserve"> </w:t>
      </w:r>
      <w:r w:rsidR="00F7487D" w:rsidRPr="003C78D9">
        <w:rPr>
          <w:b/>
          <w:sz w:val="28"/>
          <w:szCs w:val="28"/>
        </w:rPr>
        <w:t>Performance Guarantees</w:t>
      </w:r>
    </w:p>
    <w:p w14:paraId="609D9F96" w14:textId="1A9012B3" w:rsidR="000855B6" w:rsidRPr="003C78D9" w:rsidRDefault="000855B6" w:rsidP="00912F6B">
      <w:pPr>
        <w:spacing w:after="0"/>
        <w:jc w:val="center"/>
        <w:rPr>
          <w:b/>
          <w:sz w:val="28"/>
          <w:szCs w:val="28"/>
        </w:rPr>
      </w:pPr>
      <w:r w:rsidRPr="003C78D9">
        <w:rPr>
          <w:b/>
          <w:sz w:val="28"/>
          <w:szCs w:val="28"/>
        </w:rPr>
        <w:t>RFP #</w:t>
      </w:r>
      <w:r w:rsidR="003C78D9" w:rsidRPr="003C78D9">
        <w:rPr>
          <w:b/>
          <w:sz w:val="28"/>
          <w:szCs w:val="28"/>
        </w:rPr>
        <w:t>1</w:t>
      </w:r>
      <w:r w:rsidR="007D44B7">
        <w:rPr>
          <w:b/>
          <w:sz w:val="28"/>
          <w:szCs w:val="28"/>
        </w:rPr>
        <w:t>24528</w:t>
      </w:r>
      <w:r w:rsidRPr="003C78D9">
        <w:rPr>
          <w:b/>
          <w:sz w:val="28"/>
          <w:szCs w:val="28"/>
        </w:rPr>
        <w:t xml:space="preserve"> </w:t>
      </w:r>
      <w:r w:rsidR="007D44B7">
        <w:rPr>
          <w:b/>
          <w:sz w:val="28"/>
          <w:szCs w:val="28"/>
        </w:rPr>
        <w:t>ON</w:t>
      </w:r>
    </w:p>
    <w:p w14:paraId="1A00184F" w14:textId="77777777" w:rsidR="000855B6" w:rsidRPr="003C78D9" w:rsidRDefault="000855B6" w:rsidP="00912F6B">
      <w:pPr>
        <w:spacing w:after="0"/>
        <w:jc w:val="center"/>
        <w:rPr>
          <w:b/>
          <w:sz w:val="28"/>
          <w:szCs w:val="28"/>
        </w:rPr>
      </w:pPr>
      <w:r w:rsidRPr="003C78D9">
        <w:rPr>
          <w:b/>
          <w:sz w:val="28"/>
          <w:szCs w:val="28"/>
        </w:rPr>
        <w:t>Medicaid Drug Rebate (MDR) System</w:t>
      </w:r>
    </w:p>
    <w:p w14:paraId="10B147DF" w14:textId="77777777" w:rsidR="000855B6" w:rsidRPr="000855B6" w:rsidRDefault="000855B6" w:rsidP="00912F6B">
      <w:pPr>
        <w:spacing w:after="0"/>
        <w:jc w:val="center"/>
        <w:rPr>
          <w:b/>
          <w:sz w:val="28"/>
          <w:szCs w:val="28"/>
        </w:rPr>
      </w:pPr>
      <w:r w:rsidRPr="003C78D9">
        <w:rPr>
          <w:b/>
          <w:sz w:val="28"/>
          <w:szCs w:val="28"/>
        </w:rPr>
        <w:t>State of Nebraska</w:t>
      </w:r>
      <w:r w:rsidRPr="000855B6">
        <w:rPr>
          <w:b/>
          <w:sz w:val="28"/>
          <w:szCs w:val="28"/>
        </w:rPr>
        <w:t>, Department of Health and Human Services</w:t>
      </w:r>
    </w:p>
    <w:p w14:paraId="519A1779" w14:textId="2962618B" w:rsidR="00382D08" w:rsidRDefault="00382D08" w:rsidP="00911CB2">
      <w:pPr>
        <w:pStyle w:val="Heading1"/>
        <w:jc w:val="both"/>
      </w:pPr>
      <w:bookmarkStart w:id="0" w:name="_Hlk90478998"/>
      <w:r w:rsidRPr="00382D08">
        <w:t>Drug Rebate Performance Guarantees</w:t>
      </w:r>
    </w:p>
    <w:tbl>
      <w:tblPr>
        <w:tblStyle w:val="TableGrid"/>
        <w:tblW w:w="0" w:type="auto"/>
        <w:tblLook w:val="04A0" w:firstRow="1" w:lastRow="0" w:firstColumn="1" w:lastColumn="0" w:noHBand="0" w:noVBand="1"/>
      </w:tblPr>
      <w:tblGrid>
        <w:gridCol w:w="4207"/>
      </w:tblGrid>
      <w:tr w:rsidR="00F44B73" w14:paraId="0E15B9DB" w14:textId="77777777">
        <w:trPr>
          <w:trHeight w:val="330"/>
        </w:trPr>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86FCC" w14:textId="77777777" w:rsidR="00F44B73" w:rsidRDefault="00F44B73">
            <w:pPr>
              <w:tabs>
                <w:tab w:val="left" w:pos="4860"/>
              </w:tabs>
              <w:rPr>
                <w:rFonts w:asciiTheme="majorHAnsi" w:hAnsiTheme="majorHAnsi" w:cs="Arial"/>
                <w:b/>
                <w:bCs/>
                <w:u w:val="single"/>
              </w:rPr>
            </w:pPr>
            <w:r>
              <w:rPr>
                <w:rFonts w:asciiTheme="majorHAnsi" w:hAnsiTheme="majorHAnsi" w:cs="Arial"/>
                <w:b/>
                <w:bCs/>
                <w:u w:val="single"/>
              </w:rPr>
              <w:t>Requirement Type</w:t>
            </w:r>
          </w:p>
        </w:tc>
      </w:tr>
      <w:tr w:rsidR="00F44B73" w14:paraId="7FCB80A1" w14:textId="77777777">
        <w:trPr>
          <w:trHeight w:val="365"/>
        </w:trPr>
        <w:tc>
          <w:tcPr>
            <w:tcW w:w="4207" w:type="dxa"/>
            <w:tcBorders>
              <w:top w:val="single" w:sz="4" w:space="0" w:color="auto"/>
              <w:left w:val="single" w:sz="4" w:space="0" w:color="auto"/>
              <w:bottom w:val="single" w:sz="4" w:space="0" w:color="auto"/>
              <w:right w:val="single" w:sz="4" w:space="0" w:color="auto"/>
            </w:tcBorders>
          </w:tcPr>
          <w:p w14:paraId="7287CABE" w14:textId="77777777" w:rsidR="00F44B73" w:rsidRDefault="00F44B73">
            <w:pPr>
              <w:tabs>
                <w:tab w:val="left" w:pos="4860"/>
              </w:tabs>
              <w:rPr>
                <w:rFonts w:asciiTheme="majorHAnsi" w:hAnsiTheme="majorHAnsi" w:cs="Arial"/>
              </w:rPr>
            </w:pPr>
            <w:r>
              <w:rPr>
                <w:rFonts w:asciiTheme="majorHAnsi" w:hAnsiTheme="majorHAnsi" w:cs="Arial"/>
              </w:rPr>
              <w:t>Invoice Management (IVM)</w:t>
            </w:r>
          </w:p>
          <w:p w14:paraId="5E79C01A" w14:textId="77777777" w:rsidR="00F44B73" w:rsidRDefault="00F44B73">
            <w:pPr>
              <w:tabs>
                <w:tab w:val="left" w:pos="4860"/>
              </w:tabs>
              <w:rPr>
                <w:rFonts w:asciiTheme="majorHAnsi" w:hAnsiTheme="majorHAnsi" w:cs="Arial"/>
              </w:rPr>
            </w:pPr>
          </w:p>
        </w:tc>
      </w:tr>
      <w:tr w:rsidR="00F44B73" w14:paraId="612063AD" w14:textId="77777777">
        <w:trPr>
          <w:trHeight w:val="345"/>
        </w:trPr>
        <w:tc>
          <w:tcPr>
            <w:tcW w:w="4207" w:type="dxa"/>
            <w:tcBorders>
              <w:top w:val="single" w:sz="4" w:space="0" w:color="auto"/>
              <w:left w:val="single" w:sz="4" w:space="0" w:color="auto"/>
              <w:bottom w:val="single" w:sz="4" w:space="0" w:color="auto"/>
              <w:right w:val="single" w:sz="4" w:space="0" w:color="auto"/>
            </w:tcBorders>
          </w:tcPr>
          <w:p w14:paraId="3D12A2DD" w14:textId="77777777" w:rsidR="00F44B73" w:rsidRDefault="00F44B73">
            <w:pPr>
              <w:tabs>
                <w:tab w:val="left" w:pos="4860"/>
              </w:tabs>
              <w:rPr>
                <w:rFonts w:asciiTheme="majorHAnsi" w:hAnsiTheme="majorHAnsi" w:cs="Arial"/>
              </w:rPr>
            </w:pPr>
            <w:r>
              <w:rPr>
                <w:rFonts w:asciiTheme="majorHAnsi" w:hAnsiTheme="majorHAnsi" w:cs="Arial"/>
              </w:rPr>
              <w:t>Accounting (ACC)</w:t>
            </w:r>
          </w:p>
          <w:p w14:paraId="0EFED43A" w14:textId="77777777" w:rsidR="00F44B73" w:rsidRDefault="00F44B73">
            <w:pPr>
              <w:tabs>
                <w:tab w:val="left" w:pos="4860"/>
              </w:tabs>
              <w:rPr>
                <w:rFonts w:asciiTheme="majorHAnsi" w:hAnsiTheme="majorHAnsi" w:cs="Arial"/>
              </w:rPr>
            </w:pPr>
          </w:p>
        </w:tc>
      </w:tr>
      <w:tr w:rsidR="00F44B73" w14:paraId="72804927" w14:textId="77777777">
        <w:trPr>
          <w:trHeight w:val="167"/>
        </w:trPr>
        <w:tc>
          <w:tcPr>
            <w:tcW w:w="4207" w:type="dxa"/>
            <w:tcBorders>
              <w:top w:val="single" w:sz="4" w:space="0" w:color="auto"/>
              <w:left w:val="single" w:sz="4" w:space="0" w:color="auto"/>
              <w:bottom w:val="single" w:sz="4" w:space="0" w:color="auto"/>
              <w:right w:val="single" w:sz="4" w:space="0" w:color="auto"/>
            </w:tcBorders>
          </w:tcPr>
          <w:p w14:paraId="329CBCF0" w14:textId="77777777" w:rsidR="00F44B73" w:rsidRDefault="00F44B73">
            <w:pPr>
              <w:tabs>
                <w:tab w:val="left" w:pos="4860"/>
              </w:tabs>
              <w:rPr>
                <w:rFonts w:asciiTheme="majorHAnsi" w:hAnsiTheme="majorHAnsi" w:cs="Arial"/>
              </w:rPr>
            </w:pPr>
            <w:r>
              <w:rPr>
                <w:rFonts w:asciiTheme="majorHAnsi" w:hAnsiTheme="majorHAnsi" w:cs="Arial"/>
              </w:rPr>
              <w:t>Customer Support, Documentation, and Training (CDT)</w:t>
            </w:r>
          </w:p>
          <w:p w14:paraId="42091BE7" w14:textId="77777777" w:rsidR="00F44B73" w:rsidRDefault="00F44B73">
            <w:pPr>
              <w:tabs>
                <w:tab w:val="left" w:pos="4860"/>
              </w:tabs>
              <w:rPr>
                <w:rFonts w:asciiTheme="majorHAnsi" w:hAnsiTheme="majorHAnsi" w:cs="Arial"/>
              </w:rPr>
            </w:pPr>
          </w:p>
        </w:tc>
      </w:tr>
      <w:tr w:rsidR="00F44B73" w14:paraId="1D6BF39F" w14:textId="77777777">
        <w:trPr>
          <w:trHeight w:val="330"/>
        </w:trPr>
        <w:tc>
          <w:tcPr>
            <w:tcW w:w="4207" w:type="dxa"/>
            <w:tcBorders>
              <w:top w:val="single" w:sz="4" w:space="0" w:color="auto"/>
              <w:left w:val="single" w:sz="4" w:space="0" w:color="auto"/>
              <w:bottom w:val="single" w:sz="4" w:space="0" w:color="auto"/>
              <w:right w:val="single" w:sz="4" w:space="0" w:color="auto"/>
            </w:tcBorders>
          </w:tcPr>
          <w:p w14:paraId="3E834E03" w14:textId="77777777" w:rsidR="00F44B73" w:rsidRDefault="00F44B73">
            <w:pPr>
              <w:tabs>
                <w:tab w:val="left" w:pos="4860"/>
              </w:tabs>
              <w:rPr>
                <w:rFonts w:asciiTheme="majorHAnsi" w:hAnsiTheme="majorHAnsi" w:cs="Arial"/>
              </w:rPr>
            </w:pPr>
            <w:r>
              <w:rPr>
                <w:rFonts w:asciiTheme="majorHAnsi" w:hAnsiTheme="majorHAnsi" w:cs="Arial"/>
              </w:rPr>
              <w:t>Staffing and Resource (SAR)</w:t>
            </w:r>
          </w:p>
          <w:p w14:paraId="4E5491D8" w14:textId="77777777" w:rsidR="00F44B73" w:rsidRDefault="00F44B73">
            <w:pPr>
              <w:tabs>
                <w:tab w:val="left" w:pos="4860"/>
              </w:tabs>
              <w:rPr>
                <w:rFonts w:asciiTheme="majorHAnsi" w:hAnsiTheme="majorHAnsi" w:cs="Arial"/>
              </w:rPr>
            </w:pPr>
          </w:p>
        </w:tc>
      </w:tr>
      <w:tr w:rsidR="00F44B73" w14:paraId="7F50EC04" w14:textId="77777777">
        <w:trPr>
          <w:trHeight w:val="458"/>
        </w:trPr>
        <w:tc>
          <w:tcPr>
            <w:tcW w:w="4207" w:type="dxa"/>
            <w:tcBorders>
              <w:top w:val="single" w:sz="4" w:space="0" w:color="auto"/>
              <w:left w:val="single" w:sz="4" w:space="0" w:color="auto"/>
              <w:bottom w:val="single" w:sz="4" w:space="0" w:color="auto"/>
              <w:right w:val="single" w:sz="4" w:space="0" w:color="auto"/>
            </w:tcBorders>
            <w:hideMark/>
          </w:tcPr>
          <w:p w14:paraId="516DE0AB" w14:textId="77777777" w:rsidR="00F44B73" w:rsidRDefault="00F44B73">
            <w:pPr>
              <w:tabs>
                <w:tab w:val="left" w:pos="4860"/>
              </w:tabs>
              <w:rPr>
                <w:rFonts w:asciiTheme="majorHAnsi" w:hAnsiTheme="majorHAnsi" w:cs="Arial"/>
              </w:rPr>
            </w:pPr>
            <w:r>
              <w:rPr>
                <w:rFonts w:asciiTheme="majorHAnsi" w:hAnsiTheme="majorHAnsi" w:cs="Arial"/>
              </w:rPr>
              <w:t>Turnover and Contract Closeout (TCC)</w:t>
            </w:r>
          </w:p>
        </w:tc>
      </w:tr>
      <w:tr w:rsidR="00F44B73" w14:paraId="3A0DFCBF" w14:textId="77777777">
        <w:trPr>
          <w:trHeight w:val="330"/>
        </w:trPr>
        <w:tc>
          <w:tcPr>
            <w:tcW w:w="4207" w:type="dxa"/>
            <w:tcBorders>
              <w:top w:val="single" w:sz="4" w:space="0" w:color="auto"/>
              <w:left w:val="single" w:sz="4" w:space="0" w:color="auto"/>
              <w:bottom w:val="single" w:sz="4" w:space="0" w:color="auto"/>
              <w:right w:val="single" w:sz="4" w:space="0" w:color="auto"/>
            </w:tcBorders>
            <w:hideMark/>
          </w:tcPr>
          <w:p w14:paraId="5E7B44DF" w14:textId="77777777" w:rsidR="00F44B73" w:rsidRDefault="00F44B73">
            <w:pPr>
              <w:tabs>
                <w:tab w:val="left" w:pos="4860"/>
              </w:tabs>
              <w:rPr>
                <w:rFonts w:asciiTheme="majorHAnsi" w:hAnsiTheme="majorHAnsi" w:cs="Arial"/>
              </w:rPr>
            </w:pPr>
            <w:r>
              <w:rPr>
                <w:rFonts w:asciiTheme="majorHAnsi" w:hAnsiTheme="majorHAnsi" w:cs="Arial"/>
              </w:rPr>
              <w:t>Project Management and Implementation (PMI)</w:t>
            </w:r>
          </w:p>
        </w:tc>
      </w:tr>
    </w:tbl>
    <w:p w14:paraId="1B819288" w14:textId="77777777" w:rsidR="00F44B73" w:rsidRPr="00F44B73" w:rsidRDefault="00F44B73" w:rsidP="00F44B73"/>
    <w:p w14:paraId="5DDF762D" w14:textId="376BA0F4" w:rsidR="00911CB2" w:rsidRPr="00911CB2" w:rsidRDefault="00911CB2" w:rsidP="00912F6B">
      <w:r>
        <w:t>Functional Requirement ID – Reference Attachment A – MDR Functional Requirement</w:t>
      </w:r>
      <w:r w:rsidR="0018430F">
        <w:t>s</w:t>
      </w:r>
    </w:p>
    <w:tbl>
      <w:tblPr>
        <w:tblStyle w:val="TableGrid"/>
        <w:tblW w:w="13940" w:type="dxa"/>
        <w:tblLayout w:type="fixed"/>
        <w:tblLook w:val="04A0" w:firstRow="1" w:lastRow="0" w:firstColumn="1" w:lastColumn="0" w:noHBand="0" w:noVBand="1"/>
      </w:tblPr>
      <w:tblGrid>
        <w:gridCol w:w="1345"/>
        <w:gridCol w:w="1530"/>
        <w:gridCol w:w="3825"/>
        <w:gridCol w:w="3825"/>
        <w:gridCol w:w="3415"/>
      </w:tblGrid>
      <w:tr w:rsidR="00A31A58" w:rsidRPr="00911CB2" w14:paraId="5CCEFC9F" w14:textId="77777777" w:rsidTr="006C2365">
        <w:trPr>
          <w:tblHeader/>
        </w:trPr>
        <w:tc>
          <w:tcPr>
            <w:tcW w:w="1345" w:type="dxa"/>
            <w:shd w:val="clear" w:color="auto" w:fill="8EAADB" w:themeFill="accent1" w:themeFillTint="99"/>
            <w:vAlign w:val="center"/>
          </w:tcPr>
          <w:p w14:paraId="5A13709D" w14:textId="26E0FBBA" w:rsidR="00A31A58" w:rsidRPr="00911CB2" w:rsidRDefault="00D95829" w:rsidP="00912F6B">
            <w:pPr>
              <w:jc w:val="both"/>
              <w:rPr>
                <w:rFonts w:cstheme="minorHAnsi"/>
                <w:b/>
                <w:bCs/>
                <w:sz w:val="20"/>
                <w:szCs w:val="20"/>
              </w:rPr>
            </w:pPr>
            <w:r w:rsidRPr="00911CB2">
              <w:rPr>
                <w:rFonts w:cstheme="minorHAnsi"/>
                <w:b/>
                <w:bCs/>
                <w:sz w:val="20"/>
                <w:szCs w:val="20"/>
              </w:rPr>
              <w:t>Performance Measure</w:t>
            </w:r>
          </w:p>
        </w:tc>
        <w:tc>
          <w:tcPr>
            <w:tcW w:w="1530" w:type="dxa"/>
            <w:shd w:val="clear" w:color="auto" w:fill="8EAADB" w:themeFill="accent1" w:themeFillTint="99"/>
            <w:vAlign w:val="center"/>
          </w:tcPr>
          <w:p w14:paraId="489176F5" w14:textId="0AD47FA3" w:rsidR="00A31A58" w:rsidRPr="00911CB2" w:rsidRDefault="00D95829" w:rsidP="00912F6B">
            <w:pPr>
              <w:jc w:val="both"/>
              <w:rPr>
                <w:rFonts w:cstheme="minorHAnsi"/>
                <w:b/>
                <w:bCs/>
                <w:sz w:val="20"/>
                <w:szCs w:val="20"/>
              </w:rPr>
            </w:pPr>
            <w:r w:rsidRPr="00911CB2">
              <w:rPr>
                <w:rFonts w:cstheme="minorHAnsi"/>
                <w:b/>
                <w:bCs/>
                <w:sz w:val="20"/>
                <w:szCs w:val="20"/>
              </w:rPr>
              <w:t>Functional Requirement ID</w:t>
            </w:r>
          </w:p>
        </w:tc>
        <w:tc>
          <w:tcPr>
            <w:tcW w:w="3825" w:type="dxa"/>
            <w:shd w:val="clear" w:color="auto" w:fill="8EAADB" w:themeFill="accent1" w:themeFillTint="99"/>
            <w:vAlign w:val="center"/>
          </w:tcPr>
          <w:p w14:paraId="36D42D33" w14:textId="3593DA37" w:rsidR="00A31A58" w:rsidRPr="00911CB2" w:rsidRDefault="00D95829" w:rsidP="00912F6B">
            <w:pPr>
              <w:jc w:val="both"/>
              <w:rPr>
                <w:rFonts w:cstheme="minorHAnsi"/>
                <w:b/>
                <w:bCs/>
                <w:sz w:val="20"/>
                <w:szCs w:val="20"/>
              </w:rPr>
            </w:pPr>
            <w:r w:rsidRPr="00911CB2">
              <w:rPr>
                <w:rFonts w:cstheme="minorHAnsi"/>
                <w:b/>
                <w:bCs/>
                <w:sz w:val="20"/>
                <w:szCs w:val="20"/>
              </w:rPr>
              <w:t>Requirement</w:t>
            </w:r>
          </w:p>
        </w:tc>
        <w:tc>
          <w:tcPr>
            <w:tcW w:w="3825" w:type="dxa"/>
            <w:shd w:val="clear" w:color="auto" w:fill="8EAADB" w:themeFill="accent1" w:themeFillTint="99"/>
            <w:vAlign w:val="center"/>
          </w:tcPr>
          <w:p w14:paraId="04D6C22A" w14:textId="041D538B" w:rsidR="00A31A58" w:rsidRPr="00911CB2" w:rsidRDefault="00D95829" w:rsidP="00912F6B">
            <w:pPr>
              <w:jc w:val="both"/>
              <w:rPr>
                <w:rFonts w:cstheme="minorHAnsi"/>
                <w:b/>
                <w:bCs/>
                <w:sz w:val="20"/>
                <w:szCs w:val="20"/>
              </w:rPr>
            </w:pPr>
            <w:r w:rsidRPr="00911CB2">
              <w:rPr>
                <w:rFonts w:cstheme="minorHAnsi"/>
                <w:b/>
                <w:bCs/>
                <w:sz w:val="20"/>
                <w:szCs w:val="20"/>
              </w:rPr>
              <w:t>Performance Standard</w:t>
            </w:r>
          </w:p>
        </w:tc>
        <w:tc>
          <w:tcPr>
            <w:tcW w:w="3415" w:type="dxa"/>
            <w:shd w:val="clear" w:color="auto" w:fill="8EAADB" w:themeFill="accent1" w:themeFillTint="99"/>
            <w:vAlign w:val="center"/>
          </w:tcPr>
          <w:p w14:paraId="3DE3876C" w14:textId="405883BD" w:rsidR="00A31A58" w:rsidRPr="00911CB2" w:rsidRDefault="00D95829" w:rsidP="00912F6B">
            <w:pPr>
              <w:jc w:val="both"/>
              <w:rPr>
                <w:rFonts w:cstheme="minorHAnsi"/>
                <w:b/>
                <w:bCs/>
                <w:sz w:val="20"/>
                <w:szCs w:val="20"/>
              </w:rPr>
            </w:pPr>
            <w:r w:rsidRPr="00911CB2">
              <w:rPr>
                <w:rFonts w:cstheme="minorHAnsi"/>
                <w:b/>
                <w:bCs/>
                <w:sz w:val="20"/>
                <w:szCs w:val="20"/>
              </w:rPr>
              <w:t>Damages to be Assessed</w:t>
            </w:r>
          </w:p>
        </w:tc>
      </w:tr>
      <w:tr w:rsidR="00D95829" w:rsidRPr="00911CB2" w14:paraId="568DC4EE" w14:textId="77777777" w:rsidTr="006C2365">
        <w:tc>
          <w:tcPr>
            <w:tcW w:w="1345" w:type="dxa"/>
            <w:vAlign w:val="center"/>
          </w:tcPr>
          <w:p w14:paraId="0FA01EAC" w14:textId="77777777" w:rsidR="00D95829" w:rsidRPr="00911CB2" w:rsidRDefault="00D9582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0CC55C97" w14:textId="360C08FF" w:rsidR="00D95829" w:rsidRPr="00911CB2" w:rsidRDefault="00E01061" w:rsidP="00912F6B">
            <w:pPr>
              <w:jc w:val="both"/>
              <w:rPr>
                <w:rFonts w:cstheme="minorHAnsi"/>
                <w:sz w:val="20"/>
                <w:szCs w:val="20"/>
              </w:rPr>
            </w:pPr>
            <w:r w:rsidRPr="00911CB2">
              <w:rPr>
                <w:rFonts w:cstheme="minorHAnsi"/>
                <w:sz w:val="20"/>
                <w:szCs w:val="20"/>
              </w:rPr>
              <w:t>IVM-1</w:t>
            </w:r>
          </w:p>
        </w:tc>
        <w:tc>
          <w:tcPr>
            <w:tcW w:w="3825" w:type="dxa"/>
          </w:tcPr>
          <w:p w14:paraId="0A7DD7DD" w14:textId="606B4F02" w:rsidR="00D95829" w:rsidRPr="00911CB2" w:rsidRDefault="00E01061" w:rsidP="00912F6B">
            <w:pPr>
              <w:jc w:val="both"/>
              <w:rPr>
                <w:rFonts w:cstheme="minorHAnsi"/>
                <w:sz w:val="20"/>
                <w:szCs w:val="20"/>
              </w:rPr>
            </w:pPr>
            <w:proofErr w:type="gramStart"/>
            <w:r w:rsidRPr="00911CB2">
              <w:rPr>
                <w:rFonts w:cstheme="minorHAnsi"/>
                <w:sz w:val="20"/>
                <w:szCs w:val="20"/>
              </w:rPr>
              <w:t>Solution</w:t>
            </w:r>
            <w:proofErr w:type="gramEnd"/>
            <w:r w:rsidRPr="00911CB2">
              <w:rPr>
                <w:rFonts w:cstheme="minorHAnsi"/>
                <w:sz w:val="20"/>
                <w:szCs w:val="20"/>
              </w:rPr>
              <w:t xml:space="preserve"> must support automated generation of the Drug Rebate Electronic Invoice Files for each drug manufacturer with current rebate information, with the ability to generate and distribute electronically and on paper.</w:t>
            </w:r>
          </w:p>
        </w:tc>
        <w:tc>
          <w:tcPr>
            <w:tcW w:w="3825" w:type="dxa"/>
          </w:tcPr>
          <w:p w14:paraId="18CEE5F2" w14:textId="3EB89E28" w:rsidR="00D95829" w:rsidRPr="00911CB2" w:rsidRDefault="00DB0622" w:rsidP="00912F6B">
            <w:pPr>
              <w:jc w:val="both"/>
              <w:rPr>
                <w:rFonts w:cstheme="minorHAnsi"/>
                <w:sz w:val="20"/>
                <w:szCs w:val="20"/>
              </w:rPr>
            </w:pPr>
            <w:r w:rsidRPr="00911CB2">
              <w:rPr>
                <w:rFonts w:eastAsia="Times New Roman" w:cstheme="minorHAnsi"/>
                <w:sz w:val="20"/>
                <w:szCs w:val="20"/>
              </w:rPr>
              <w:t>W</w:t>
            </w:r>
            <w:r w:rsidR="00E01061" w:rsidRPr="00911CB2">
              <w:rPr>
                <w:rFonts w:eastAsia="Times New Roman" w:cstheme="minorHAnsi"/>
                <w:sz w:val="20"/>
                <w:szCs w:val="20"/>
              </w:rPr>
              <w:t xml:space="preserve">ithin </w:t>
            </w:r>
            <w:r w:rsidRPr="00911CB2">
              <w:rPr>
                <w:rFonts w:eastAsia="Times New Roman" w:cstheme="minorHAnsi"/>
                <w:sz w:val="20"/>
                <w:szCs w:val="20"/>
              </w:rPr>
              <w:t>forty-five (</w:t>
            </w:r>
            <w:r w:rsidR="00E01061" w:rsidRPr="00911CB2">
              <w:rPr>
                <w:rFonts w:eastAsia="Times New Roman" w:cstheme="minorHAnsi"/>
                <w:sz w:val="20"/>
                <w:szCs w:val="20"/>
              </w:rPr>
              <w:t>45</w:t>
            </w:r>
            <w:r w:rsidRPr="00911CB2">
              <w:rPr>
                <w:rFonts w:eastAsia="Times New Roman" w:cstheme="minorHAnsi"/>
                <w:sz w:val="20"/>
                <w:szCs w:val="20"/>
              </w:rPr>
              <w:t>)</w:t>
            </w:r>
            <w:r w:rsidR="00E01061" w:rsidRPr="00911CB2">
              <w:rPr>
                <w:rFonts w:eastAsia="Times New Roman" w:cstheme="minorHAnsi"/>
                <w:sz w:val="20"/>
                <w:szCs w:val="20"/>
              </w:rPr>
              <w:t xml:space="preserve"> </w:t>
            </w:r>
            <w:r w:rsidR="00842E37" w:rsidRPr="00911CB2">
              <w:rPr>
                <w:rFonts w:eastAsia="Times New Roman" w:cstheme="minorHAnsi"/>
                <w:sz w:val="20"/>
                <w:szCs w:val="20"/>
              </w:rPr>
              <w:t xml:space="preserve">to sixty (60) </w:t>
            </w:r>
            <w:r w:rsidR="00E01061" w:rsidRPr="00911CB2">
              <w:rPr>
                <w:rFonts w:eastAsia="Times New Roman" w:cstheme="minorHAnsi"/>
                <w:sz w:val="20"/>
                <w:szCs w:val="20"/>
              </w:rPr>
              <w:t>days of the end of the previous quarter.</w:t>
            </w:r>
          </w:p>
        </w:tc>
        <w:tc>
          <w:tcPr>
            <w:tcW w:w="3415" w:type="dxa"/>
          </w:tcPr>
          <w:p w14:paraId="54583248" w14:textId="75F8C1ED" w:rsidR="00D95829" w:rsidRPr="00911CB2" w:rsidRDefault="00E01061" w:rsidP="00912F6B">
            <w:pPr>
              <w:jc w:val="both"/>
              <w:rPr>
                <w:rFonts w:cstheme="minorHAnsi"/>
                <w:sz w:val="20"/>
                <w:szCs w:val="20"/>
              </w:rPr>
            </w:pPr>
            <w:r w:rsidRPr="00911CB2">
              <w:rPr>
                <w:rFonts w:cstheme="minorHAnsi"/>
                <w:sz w:val="20"/>
                <w:szCs w:val="20"/>
              </w:rPr>
              <w:t>DHHS may assess $</w:t>
            </w:r>
            <w:r w:rsidR="000A558E" w:rsidRPr="00911CB2">
              <w:rPr>
                <w:rFonts w:cstheme="minorHAnsi"/>
                <w:sz w:val="20"/>
                <w:szCs w:val="20"/>
              </w:rPr>
              <w:t>5,000</w:t>
            </w:r>
            <w:r w:rsidRPr="00911CB2">
              <w:rPr>
                <w:rFonts w:cstheme="minorHAnsi"/>
                <w:sz w:val="20"/>
                <w:szCs w:val="20"/>
              </w:rPr>
              <w:t xml:space="preserve"> per incident per day not in compliance with performance standard.</w:t>
            </w:r>
          </w:p>
        </w:tc>
      </w:tr>
      <w:bookmarkEnd w:id="0"/>
      <w:tr w:rsidR="00A31A58" w:rsidRPr="00911CB2" w14:paraId="4EB1B0E1" w14:textId="77777777" w:rsidTr="006C2365">
        <w:tc>
          <w:tcPr>
            <w:tcW w:w="1345" w:type="dxa"/>
            <w:vAlign w:val="center"/>
          </w:tcPr>
          <w:p w14:paraId="0BBE370F" w14:textId="5EC853CC" w:rsidR="00A31A58" w:rsidRPr="00911CB2" w:rsidRDefault="00A31A58"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3FBCC7D2" w14:textId="49CDAA6F" w:rsidR="00A31A58" w:rsidRPr="00911CB2" w:rsidRDefault="006E5840" w:rsidP="00912F6B">
            <w:pPr>
              <w:jc w:val="both"/>
              <w:rPr>
                <w:rFonts w:cstheme="minorHAnsi"/>
                <w:sz w:val="20"/>
                <w:szCs w:val="20"/>
              </w:rPr>
            </w:pPr>
            <w:r w:rsidRPr="00911CB2">
              <w:rPr>
                <w:rFonts w:cstheme="minorHAnsi"/>
                <w:sz w:val="20"/>
                <w:szCs w:val="20"/>
              </w:rPr>
              <w:t>IVM-11</w:t>
            </w:r>
          </w:p>
        </w:tc>
        <w:tc>
          <w:tcPr>
            <w:tcW w:w="3825" w:type="dxa"/>
          </w:tcPr>
          <w:p w14:paraId="1B52DF04" w14:textId="06DAF89D" w:rsidR="00A31A58" w:rsidRPr="00911CB2" w:rsidRDefault="006E5840" w:rsidP="00912F6B">
            <w:pPr>
              <w:jc w:val="both"/>
              <w:rPr>
                <w:rFonts w:cstheme="minorHAnsi"/>
                <w:sz w:val="20"/>
                <w:szCs w:val="20"/>
              </w:rPr>
            </w:pPr>
            <w:r w:rsidRPr="00911CB2">
              <w:rPr>
                <w:rFonts w:cstheme="minorHAnsi"/>
                <w:sz w:val="20"/>
                <w:szCs w:val="20"/>
              </w:rPr>
              <w:t xml:space="preserve">Solution must </w:t>
            </w:r>
            <w:r w:rsidR="00143F5A" w:rsidRPr="00911CB2">
              <w:rPr>
                <w:rFonts w:cstheme="minorHAnsi"/>
                <w:sz w:val="20"/>
                <w:szCs w:val="20"/>
              </w:rPr>
              <w:t>automatically generate</w:t>
            </w:r>
            <w:r w:rsidRPr="00911CB2">
              <w:rPr>
                <w:rFonts w:cstheme="minorHAnsi"/>
                <w:sz w:val="20"/>
                <w:szCs w:val="20"/>
              </w:rPr>
              <w:t xml:space="preserve"> delinquent letters to manufacturers who have not paid an invoice</w:t>
            </w:r>
            <w:r w:rsidR="00E0019A" w:rsidRPr="00911CB2">
              <w:rPr>
                <w:rFonts w:cstheme="minorHAnsi"/>
                <w:sz w:val="20"/>
                <w:szCs w:val="20"/>
              </w:rPr>
              <w:t xml:space="preserve"> or have an outstanding balance</w:t>
            </w:r>
            <w:r w:rsidRPr="00911CB2">
              <w:rPr>
                <w:rFonts w:cstheme="minorHAnsi"/>
                <w:sz w:val="20"/>
                <w:szCs w:val="20"/>
              </w:rPr>
              <w:t>.</w:t>
            </w:r>
          </w:p>
        </w:tc>
        <w:tc>
          <w:tcPr>
            <w:tcW w:w="3825" w:type="dxa"/>
          </w:tcPr>
          <w:p w14:paraId="55426881" w14:textId="6ABC3F54" w:rsidR="00A31A58" w:rsidRPr="00911CB2" w:rsidRDefault="00DB70BB" w:rsidP="00912F6B">
            <w:pPr>
              <w:jc w:val="both"/>
              <w:rPr>
                <w:rFonts w:cstheme="minorHAnsi"/>
                <w:sz w:val="20"/>
                <w:szCs w:val="20"/>
              </w:rPr>
            </w:pPr>
            <w:r w:rsidRPr="00911CB2">
              <w:rPr>
                <w:rFonts w:cstheme="minorHAnsi"/>
                <w:sz w:val="20"/>
                <w:szCs w:val="20"/>
              </w:rPr>
              <w:t xml:space="preserve">Within </w:t>
            </w:r>
            <w:r w:rsidR="00F94B95" w:rsidRPr="00911CB2">
              <w:rPr>
                <w:rFonts w:cstheme="minorHAnsi"/>
                <w:sz w:val="20"/>
                <w:szCs w:val="20"/>
              </w:rPr>
              <w:t>ten (</w:t>
            </w:r>
            <w:r w:rsidRPr="00911CB2">
              <w:rPr>
                <w:rFonts w:cstheme="minorHAnsi"/>
                <w:sz w:val="20"/>
                <w:szCs w:val="20"/>
              </w:rPr>
              <w:t>10</w:t>
            </w:r>
            <w:r w:rsidR="00F94B95" w:rsidRPr="00911CB2">
              <w:rPr>
                <w:rFonts w:cstheme="minorHAnsi"/>
                <w:sz w:val="20"/>
                <w:szCs w:val="20"/>
              </w:rPr>
              <w:t>)</w:t>
            </w:r>
            <w:r w:rsidRPr="00911CB2">
              <w:rPr>
                <w:rFonts w:cstheme="minorHAnsi"/>
                <w:sz w:val="20"/>
                <w:szCs w:val="20"/>
              </w:rPr>
              <w:t xml:space="preserve"> business </w:t>
            </w:r>
            <w:r w:rsidR="00143F5A" w:rsidRPr="00911CB2">
              <w:rPr>
                <w:rFonts w:cstheme="minorHAnsi"/>
                <w:sz w:val="20"/>
                <w:szCs w:val="20"/>
              </w:rPr>
              <w:t>days,</w:t>
            </w:r>
            <w:r w:rsidRPr="00911CB2">
              <w:rPr>
                <w:rFonts w:cstheme="minorHAnsi"/>
                <w:sz w:val="20"/>
                <w:szCs w:val="20"/>
              </w:rPr>
              <w:t xml:space="preserve"> f</w:t>
            </w:r>
            <w:r w:rsidR="006E5840" w:rsidRPr="00911CB2">
              <w:rPr>
                <w:rFonts w:cstheme="minorHAnsi"/>
                <w:sz w:val="20"/>
                <w:szCs w:val="20"/>
              </w:rPr>
              <w:t xml:space="preserve">or payments not received within </w:t>
            </w:r>
            <w:r w:rsidR="00DB0622" w:rsidRPr="00911CB2">
              <w:rPr>
                <w:rFonts w:cstheme="minorHAnsi"/>
                <w:sz w:val="20"/>
                <w:szCs w:val="20"/>
              </w:rPr>
              <w:t>thirty-eight (</w:t>
            </w:r>
            <w:r w:rsidR="006E5840" w:rsidRPr="00911CB2">
              <w:rPr>
                <w:rFonts w:cstheme="minorHAnsi"/>
                <w:sz w:val="20"/>
                <w:szCs w:val="20"/>
              </w:rPr>
              <w:t>38</w:t>
            </w:r>
            <w:r w:rsidR="00DB0622" w:rsidRPr="00911CB2">
              <w:rPr>
                <w:rFonts w:cstheme="minorHAnsi"/>
                <w:sz w:val="20"/>
                <w:szCs w:val="20"/>
              </w:rPr>
              <w:t>)</w:t>
            </w:r>
            <w:r w:rsidR="006E5840" w:rsidRPr="00911CB2">
              <w:rPr>
                <w:rFonts w:cstheme="minorHAnsi"/>
                <w:sz w:val="20"/>
                <w:szCs w:val="20"/>
              </w:rPr>
              <w:t xml:space="preserve"> days</w:t>
            </w:r>
            <w:r w:rsidR="002370E1" w:rsidRPr="00911CB2">
              <w:rPr>
                <w:rFonts w:cstheme="minorHAnsi"/>
                <w:sz w:val="20"/>
                <w:szCs w:val="20"/>
              </w:rPr>
              <w:t xml:space="preserve"> for the most recent quarter</w:t>
            </w:r>
            <w:r w:rsidR="006E5840" w:rsidRPr="00911CB2">
              <w:rPr>
                <w:rFonts w:cstheme="minorHAnsi"/>
                <w:sz w:val="20"/>
                <w:szCs w:val="20"/>
              </w:rPr>
              <w:t xml:space="preserve"> and </w:t>
            </w:r>
            <w:r w:rsidR="00DB0622" w:rsidRPr="00911CB2">
              <w:rPr>
                <w:rFonts w:cstheme="minorHAnsi"/>
                <w:sz w:val="20"/>
                <w:szCs w:val="20"/>
              </w:rPr>
              <w:t xml:space="preserve">a </w:t>
            </w:r>
            <w:r w:rsidR="006E5840" w:rsidRPr="00911CB2">
              <w:rPr>
                <w:rFonts w:cstheme="minorHAnsi"/>
                <w:sz w:val="20"/>
                <w:szCs w:val="20"/>
              </w:rPr>
              <w:t xml:space="preserve">subsequent letter for payments not received within </w:t>
            </w:r>
            <w:r w:rsidR="00DB0622" w:rsidRPr="00911CB2">
              <w:rPr>
                <w:rFonts w:cstheme="minorHAnsi"/>
                <w:sz w:val="20"/>
                <w:szCs w:val="20"/>
              </w:rPr>
              <w:t>sixty-eight (</w:t>
            </w:r>
            <w:r w:rsidR="006E5840" w:rsidRPr="00911CB2">
              <w:rPr>
                <w:rFonts w:cstheme="minorHAnsi"/>
                <w:sz w:val="20"/>
                <w:szCs w:val="20"/>
              </w:rPr>
              <w:t>68</w:t>
            </w:r>
            <w:r w:rsidR="00DB0622" w:rsidRPr="00911CB2">
              <w:rPr>
                <w:rFonts w:cstheme="minorHAnsi"/>
                <w:sz w:val="20"/>
                <w:szCs w:val="20"/>
              </w:rPr>
              <w:t>)</w:t>
            </w:r>
            <w:r w:rsidR="006E5840" w:rsidRPr="00911CB2">
              <w:rPr>
                <w:rFonts w:cstheme="minorHAnsi"/>
                <w:sz w:val="20"/>
                <w:szCs w:val="20"/>
              </w:rPr>
              <w:t xml:space="preserve"> </w:t>
            </w:r>
            <w:r w:rsidR="00143F5A" w:rsidRPr="00911CB2">
              <w:rPr>
                <w:rFonts w:cstheme="minorHAnsi"/>
                <w:sz w:val="20"/>
                <w:szCs w:val="20"/>
              </w:rPr>
              <w:t>days</w:t>
            </w:r>
            <w:r w:rsidR="002370E1" w:rsidRPr="00911CB2">
              <w:rPr>
                <w:rFonts w:cstheme="minorHAnsi"/>
                <w:sz w:val="20"/>
                <w:szCs w:val="20"/>
              </w:rPr>
              <w:t xml:space="preserve"> for the most recent quarter </w:t>
            </w:r>
            <w:r w:rsidR="002370E1" w:rsidRPr="00911CB2">
              <w:rPr>
                <w:rFonts w:cstheme="minorHAnsi"/>
                <w:sz w:val="20"/>
                <w:szCs w:val="20"/>
              </w:rPr>
              <w:lastRenderedPageBreak/>
              <w:t>or has an outstanding balance</w:t>
            </w:r>
            <w:r w:rsidR="006E5840" w:rsidRPr="00911CB2">
              <w:rPr>
                <w:rFonts w:cstheme="minorHAnsi"/>
                <w:sz w:val="20"/>
                <w:szCs w:val="20"/>
              </w:rPr>
              <w:t xml:space="preserve"> of </w:t>
            </w:r>
            <w:r w:rsidR="00DB0622" w:rsidRPr="00911CB2">
              <w:rPr>
                <w:rFonts w:cstheme="minorHAnsi"/>
                <w:sz w:val="20"/>
                <w:szCs w:val="20"/>
              </w:rPr>
              <w:t xml:space="preserve">original </w:t>
            </w:r>
            <w:r w:rsidR="006E5840" w:rsidRPr="00911CB2">
              <w:rPr>
                <w:rFonts w:cstheme="minorHAnsi"/>
                <w:sz w:val="20"/>
                <w:szCs w:val="20"/>
              </w:rPr>
              <w:t>invoice</w:t>
            </w:r>
            <w:r w:rsidRPr="00911CB2">
              <w:rPr>
                <w:rFonts w:cstheme="minorHAnsi"/>
                <w:sz w:val="20"/>
                <w:szCs w:val="20"/>
              </w:rPr>
              <w:t xml:space="preserve"> date.</w:t>
            </w:r>
          </w:p>
        </w:tc>
        <w:tc>
          <w:tcPr>
            <w:tcW w:w="3415" w:type="dxa"/>
          </w:tcPr>
          <w:p w14:paraId="6FB004B6" w14:textId="49B8D2BF" w:rsidR="00A31A58" w:rsidRPr="00911CB2" w:rsidRDefault="006E5840" w:rsidP="00912F6B">
            <w:pPr>
              <w:jc w:val="both"/>
              <w:rPr>
                <w:rFonts w:cstheme="minorHAnsi"/>
                <w:sz w:val="20"/>
                <w:szCs w:val="20"/>
              </w:rPr>
            </w:pPr>
            <w:r w:rsidRPr="00911CB2">
              <w:rPr>
                <w:rFonts w:cstheme="minorHAnsi"/>
                <w:sz w:val="20"/>
                <w:szCs w:val="20"/>
              </w:rPr>
              <w:lastRenderedPageBreak/>
              <w:t>DHHS may assess $</w:t>
            </w:r>
            <w:r w:rsidR="00BE044A" w:rsidRPr="00911CB2">
              <w:rPr>
                <w:rFonts w:cstheme="minorHAnsi"/>
                <w:sz w:val="20"/>
                <w:szCs w:val="20"/>
              </w:rPr>
              <w:t xml:space="preserve">1,000 </w:t>
            </w:r>
            <w:r w:rsidRPr="00911CB2">
              <w:rPr>
                <w:rFonts w:cstheme="minorHAnsi"/>
                <w:sz w:val="20"/>
                <w:szCs w:val="20"/>
              </w:rPr>
              <w:t>per incident per day not in compliance with performance standard.</w:t>
            </w:r>
          </w:p>
        </w:tc>
      </w:tr>
      <w:tr w:rsidR="009862E9" w:rsidRPr="00911CB2" w14:paraId="16C1943B" w14:textId="77777777" w:rsidTr="006C2365">
        <w:tc>
          <w:tcPr>
            <w:tcW w:w="1345" w:type="dxa"/>
            <w:vAlign w:val="center"/>
          </w:tcPr>
          <w:p w14:paraId="11DB7DD6" w14:textId="46439904" w:rsidR="009862E9" w:rsidRPr="00911CB2" w:rsidRDefault="009862E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73B1132E" w14:textId="03F3B87E" w:rsidR="009862E9" w:rsidRPr="00911CB2" w:rsidRDefault="009862E9" w:rsidP="00912F6B">
            <w:pPr>
              <w:jc w:val="both"/>
              <w:rPr>
                <w:rFonts w:cstheme="minorHAnsi"/>
                <w:sz w:val="20"/>
                <w:szCs w:val="20"/>
              </w:rPr>
            </w:pPr>
            <w:r w:rsidRPr="00911CB2">
              <w:rPr>
                <w:rFonts w:cstheme="minorHAnsi"/>
                <w:sz w:val="20"/>
                <w:szCs w:val="20"/>
              </w:rPr>
              <w:t>IVM-17</w:t>
            </w:r>
          </w:p>
        </w:tc>
        <w:tc>
          <w:tcPr>
            <w:tcW w:w="3825" w:type="dxa"/>
          </w:tcPr>
          <w:p w14:paraId="2C7722E8" w14:textId="52D66E7A" w:rsidR="009862E9" w:rsidRPr="00911CB2" w:rsidRDefault="009862E9" w:rsidP="00912F6B">
            <w:pPr>
              <w:jc w:val="both"/>
              <w:rPr>
                <w:rFonts w:cstheme="minorHAnsi"/>
                <w:sz w:val="20"/>
                <w:szCs w:val="20"/>
              </w:rPr>
            </w:pPr>
            <w:r w:rsidRPr="00911CB2">
              <w:rPr>
                <w:rFonts w:cstheme="minorHAnsi"/>
                <w:sz w:val="20"/>
                <w:szCs w:val="20"/>
              </w:rPr>
              <w:t xml:space="preserve">Solution must generate and provide electronic files of all </w:t>
            </w:r>
            <w:r w:rsidR="00143F5A" w:rsidRPr="00911CB2">
              <w:rPr>
                <w:rFonts w:cstheme="minorHAnsi"/>
                <w:sz w:val="20"/>
                <w:szCs w:val="20"/>
              </w:rPr>
              <w:t>rebates</w:t>
            </w:r>
            <w:r w:rsidRPr="00911CB2">
              <w:rPr>
                <w:rFonts w:cstheme="minorHAnsi"/>
                <w:sz w:val="20"/>
                <w:szCs w:val="20"/>
              </w:rPr>
              <w:t xml:space="preserve"> (</w:t>
            </w:r>
            <w:r w:rsidR="003331AF" w:rsidRPr="00911CB2">
              <w:rPr>
                <w:rFonts w:cstheme="minorHAnsi"/>
                <w:sz w:val="20"/>
                <w:szCs w:val="20"/>
              </w:rPr>
              <w:t xml:space="preserve">federal </w:t>
            </w:r>
            <w:r w:rsidRPr="00911CB2">
              <w:rPr>
                <w:rFonts w:cstheme="minorHAnsi"/>
                <w:sz w:val="20"/>
                <w:szCs w:val="20"/>
              </w:rPr>
              <w:t xml:space="preserve">and </w:t>
            </w:r>
            <w:r w:rsidR="003331AF" w:rsidRPr="00911CB2">
              <w:rPr>
                <w:rFonts w:cstheme="minorHAnsi"/>
                <w:sz w:val="20"/>
                <w:szCs w:val="20"/>
              </w:rPr>
              <w:t>state</w:t>
            </w:r>
            <w:r w:rsidRPr="00911CB2">
              <w:rPr>
                <w:rFonts w:cstheme="minorHAnsi"/>
                <w:sz w:val="20"/>
                <w:szCs w:val="20"/>
              </w:rPr>
              <w:t xml:space="preserve">) invoicing, prior period adjustments and collections by NDC on a quarterly basis in a format defined by </w:t>
            </w:r>
            <w:r w:rsidR="003331AF" w:rsidRPr="00911CB2">
              <w:rPr>
                <w:rFonts w:cstheme="minorHAnsi"/>
                <w:sz w:val="20"/>
                <w:szCs w:val="20"/>
              </w:rPr>
              <w:t>DHHS</w:t>
            </w:r>
            <w:r w:rsidRPr="00911CB2">
              <w:rPr>
                <w:rFonts w:cstheme="minorHAnsi"/>
                <w:sz w:val="20"/>
                <w:szCs w:val="20"/>
              </w:rPr>
              <w:t>.</w:t>
            </w:r>
          </w:p>
        </w:tc>
        <w:tc>
          <w:tcPr>
            <w:tcW w:w="3825" w:type="dxa"/>
          </w:tcPr>
          <w:p w14:paraId="7182DF8B" w14:textId="07592CEB" w:rsidR="009862E9" w:rsidRPr="00911CB2" w:rsidRDefault="00DB0622" w:rsidP="00912F6B">
            <w:pPr>
              <w:jc w:val="both"/>
              <w:rPr>
                <w:rFonts w:cstheme="minorHAnsi"/>
                <w:sz w:val="20"/>
                <w:szCs w:val="20"/>
              </w:rPr>
            </w:pPr>
            <w:r w:rsidRPr="00911CB2">
              <w:rPr>
                <w:rFonts w:eastAsia="Times New Roman" w:cstheme="minorHAnsi"/>
                <w:sz w:val="20"/>
                <w:szCs w:val="20"/>
              </w:rPr>
              <w:t>W</w:t>
            </w:r>
            <w:r w:rsidR="009862E9" w:rsidRPr="00911CB2">
              <w:rPr>
                <w:rFonts w:eastAsia="Times New Roman" w:cstheme="minorHAnsi"/>
                <w:sz w:val="20"/>
                <w:szCs w:val="20"/>
              </w:rPr>
              <w:t xml:space="preserve">ithin one </w:t>
            </w:r>
            <w:r w:rsidR="00DB70BB" w:rsidRPr="00911CB2">
              <w:rPr>
                <w:rFonts w:eastAsia="Times New Roman" w:cstheme="minorHAnsi"/>
                <w:sz w:val="20"/>
                <w:szCs w:val="20"/>
              </w:rPr>
              <w:t xml:space="preserve">(1) </w:t>
            </w:r>
            <w:r w:rsidR="009862E9" w:rsidRPr="00911CB2">
              <w:rPr>
                <w:rFonts w:eastAsia="Times New Roman" w:cstheme="minorHAnsi"/>
                <w:sz w:val="20"/>
                <w:szCs w:val="20"/>
              </w:rPr>
              <w:t xml:space="preserve">business day upon completion of the quarterly </w:t>
            </w:r>
            <w:r w:rsidR="00143F5A" w:rsidRPr="00911CB2">
              <w:rPr>
                <w:rFonts w:eastAsia="Times New Roman" w:cstheme="minorHAnsi"/>
                <w:sz w:val="20"/>
                <w:szCs w:val="20"/>
              </w:rPr>
              <w:t>invoice</w:t>
            </w:r>
            <w:r w:rsidR="009862E9" w:rsidRPr="00911CB2">
              <w:rPr>
                <w:rFonts w:eastAsia="Times New Roman" w:cstheme="minorHAnsi"/>
                <w:sz w:val="20"/>
                <w:szCs w:val="20"/>
              </w:rPr>
              <w:t xml:space="preserve"> cycle quarter.</w:t>
            </w:r>
          </w:p>
        </w:tc>
        <w:tc>
          <w:tcPr>
            <w:tcW w:w="3415" w:type="dxa"/>
          </w:tcPr>
          <w:p w14:paraId="44C6B95A" w14:textId="0CF46445" w:rsidR="009862E9" w:rsidRPr="00911CB2" w:rsidRDefault="009862E9" w:rsidP="00912F6B">
            <w:pPr>
              <w:jc w:val="both"/>
              <w:rPr>
                <w:rFonts w:cstheme="minorHAnsi"/>
                <w:sz w:val="20"/>
                <w:szCs w:val="20"/>
              </w:rPr>
            </w:pPr>
            <w:r w:rsidRPr="00911CB2">
              <w:rPr>
                <w:rFonts w:cstheme="minorHAnsi"/>
                <w:sz w:val="20"/>
                <w:szCs w:val="20"/>
              </w:rPr>
              <w:t>DHHS may assess $</w:t>
            </w:r>
            <w:r w:rsidR="00BE044A" w:rsidRPr="00911CB2">
              <w:rPr>
                <w:rFonts w:cstheme="minorHAnsi"/>
                <w:sz w:val="20"/>
                <w:szCs w:val="20"/>
              </w:rPr>
              <w:t>1,000</w:t>
            </w:r>
            <w:r w:rsidRPr="00911CB2">
              <w:rPr>
                <w:rFonts w:cstheme="minorHAnsi"/>
                <w:sz w:val="20"/>
                <w:szCs w:val="20"/>
              </w:rPr>
              <w:t xml:space="preserve"> per incident per day not in compliance with performance standard.</w:t>
            </w:r>
          </w:p>
        </w:tc>
      </w:tr>
      <w:tr w:rsidR="009862E9" w:rsidRPr="00911CB2" w14:paraId="4873100F" w14:textId="77777777" w:rsidTr="006C2365">
        <w:trPr>
          <w:trHeight w:val="152"/>
        </w:trPr>
        <w:tc>
          <w:tcPr>
            <w:tcW w:w="1345" w:type="dxa"/>
            <w:vAlign w:val="center"/>
          </w:tcPr>
          <w:p w14:paraId="4425423B" w14:textId="2AF4D5D0" w:rsidR="009862E9" w:rsidRPr="00911CB2" w:rsidRDefault="009862E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5682D8C6" w14:textId="58301F7E" w:rsidR="009862E9" w:rsidRPr="00911CB2" w:rsidRDefault="00CB757D" w:rsidP="00912F6B">
            <w:pPr>
              <w:jc w:val="both"/>
              <w:rPr>
                <w:rFonts w:cstheme="minorHAnsi"/>
                <w:sz w:val="20"/>
                <w:szCs w:val="20"/>
              </w:rPr>
            </w:pPr>
            <w:r w:rsidRPr="00911CB2">
              <w:rPr>
                <w:rFonts w:cstheme="minorHAnsi"/>
                <w:sz w:val="20"/>
                <w:szCs w:val="20"/>
              </w:rPr>
              <w:t>IVM-22</w:t>
            </w:r>
          </w:p>
        </w:tc>
        <w:tc>
          <w:tcPr>
            <w:tcW w:w="3825" w:type="dxa"/>
          </w:tcPr>
          <w:p w14:paraId="646A9817" w14:textId="031CEABF" w:rsidR="009862E9" w:rsidRPr="00911CB2" w:rsidRDefault="006504D9" w:rsidP="00912F6B">
            <w:pPr>
              <w:jc w:val="both"/>
              <w:rPr>
                <w:rFonts w:cstheme="minorHAnsi"/>
                <w:sz w:val="20"/>
                <w:szCs w:val="20"/>
              </w:rPr>
            </w:pPr>
            <w:proofErr w:type="gramStart"/>
            <w:r>
              <w:rPr>
                <w:rFonts w:cstheme="minorHAnsi"/>
                <w:sz w:val="20"/>
                <w:szCs w:val="20"/>
              </w:rPr>
              <w:t>Vendor</w:t>
            </w:r>
            <w:proofErr w:type="gramEnd"/>
            <w:r w:rsidRPr="00911CB2">
              <w:rPr>
                <w:rFonts w:cstheme="minorHAnsi"/>
                <w:sz w:val="20"/>
                <w:szCs w:val="20"/>
              </w:rPr>
              <w:t xml:space="preserve"> </w:t>
            </w:r>
            <w:r w:rsidR="009862E9" w:rsidRPr="00911CB2">
              <w:rPr>
                <w:rFonts w:cstheme="minorHAnsi"/>
                <w:sz w:val="20"/>
                <w:szCs w:val="20"/>
              </w:rPr>
              <w:t xml:space="preserve">must support </w:t>
            </w:r>
            <w:r w:rsidR="003331AF" w:rsidRPr="00911CB2">
              <w:rPr>
                <w:rFonts w:cstheme="minorHAnsi"/>
                <w:sz w:val="20"/>
                <w:szCs w:val="20"/>
              </w:rPr>
              <w:t>DHHS</w:t>
            </w:r>
            <w:r w:rsidR="009862E9" w:rsidRPr="00911CB2">
              <w:rPr>
                <w:rFonts w:cstheme="minorHAnsi"/>
                <w:sz w:val="20"/>
                <w:szCs w:val="20"/>
              </w:rPr>
              <w:t xml:space="preserve"> in dispute resolution meetings (informal, appeal, judicial review, etc.) with </w:t>
            </w:r>
            <w:proofErr w:type="gramStart"/>
            <w:r w:rsidR="009862E9" w:rsidRPr="00911CB2">
              <w:rPr>
                <w:rFonts w:cstheme="minorHAnsi"/>
                <w:sz w:val="20"/>
                <w:szCs w:val="20"/>
              </w:rPr>
              <w:t>manufacturer</w:t>
            </w:r>
            <w:proofErr w:type="gramEnd"/>
            <w:r w:rsidR="009862E9" w:rsidRPr="00911CB2">
              <w:rPr>
                <w:rFonts w:cstheme="minorHAnsi"/>
                <w:sz w:val="20"/>
                <w:szCs w:val="20"/>
              </w:rPr>
              <w:t xml:space="preserve"> or labelers, including providing staff to participate with </w:t>
            </w:r>
            <w:r w:rsidR="003331AF" w:rsidRPr="00911CB2">
              <w:rPr>
                <w:rFonts w:cstheme="minorHAnsi"/>
                <w:sz w:val="20"/>
                <w:szCs w:val="20"/>
              </w:rPr>
              <w:t>DHHS</w:t>
            </w:r>
            <w:r w:rsidR="009862E9" w:rsidRPr="00911CB2">
              <w:rPr>
                <w:rFonts w:cstheme="minorHAnsi"/>
                <w:sz w:val="20"/>
                <w:szCs w:val="20"/>
              </w:rPr>
              <w:t xml:space="preserve"> in meetings.</w:t>
            </w:r>
          </w:p>
        </w:tc>
        <w:tc>
          <w:tcPr>
            <w:tcW w:w="3825" w:type="dxa"/>
          </w:tcPr>
          <w:p w14:paraId="68598F35" w14:textId="07665DC8" w:rsidR="009862E9" w:rsidRPr="00911CB2" w:rsidRDefault="00DB0622" w:rsidP="00912F6B">
            <w:pPr>
              <w:jc w:val="both"/>
              <w:rPr>
                <w:rFonts w:cstheme="minorHAnsi"/>
                <w:sz w:val="20"/>
                <w:szCs w:val="20"/>
              </w:rPr>
            </w:pPr>
            <w:r w:rsidRPr="00911CB2">
              <w:rPr>
                <w:rFonts w:cstheme="minorHAnsi"/>
                <w:sz w:val="20"/>
                <w:szCs w:val="20"/>
              </w:rPr>
              <w:t xml:space="preserve">Within </w:t>
            </w:r>
            <w:r w:rsidR="00F94B95" w:rsidRPr="00911CB2">
              <w:rPr>
                <w:rFonts w:cstheme="minorHAnsi"/>
                <w:sz w:val="20"/>
                <w:szCs w:val="20"/>
              </w:rPr>
              <w:t xml:space="preserve">five </w:t>
            </w:r>
            <w:r w:rsidR="00DB70BB" w:rsidRPr="00911CB2">
              <w:rPr>
                <w:rFonts w:cstheme="minorHAnsi"/>
                <w:sz w:val="20"/>
                <w:szCs w:val="20"/>
              </w:rPr>
              <w:t>(</w:t>
            </w:r>
            <w:r w:rsidR="00F94B95" w:rsidRPr="00911CB2">
              <w:rPr>
                <w:rFonts w:cstheme="minorHAnsi"/>
                <w:sz w:val="20"/>
                <w:szCs w:val="20"/>
              </w:rPr>
              <w:t>5</w:t>
            </w:r>
            <w:r w:rsidR="00DB70BB" w:rsidRPr="00911CB2">
              <w:rPr>
                <w:rFonts w:cstheme="minorHAnsi"/>
                <w:sz w:val="20"/>
                <w:szCs w:val="20"/>
              </w:rPr>
              <w:t xml:space="preserve">) </w:t>
            </w:r>
            <w:r w:rsidR="009862E9" w:rsidRPr="00911CB2">
              <w:rPr>
                <w:rFonts w:cstheme="minorHAnsi"/>
                <w:sz w:val="20"/>
                <w:szCs w:val="20"/>
              </w:rPr>
              <w:t xml:space="preserve">business </w:t>
            </w:r>
            <w:r w:rsidR="00143F5A" w:rsidRPr="00911CB2">
              <w:rPr>
                <w:rFonts w:cstheme="minorHAnsi"/>
                <w:sz w:val="20"/>
                <w:szCs w:val="20"/>
              </w:rPr>
              <w:t>days</w:t>
            </w:r>
            <w:r w:rsidR="009862E9" w:rsidRPr="00911CB2">
              <w:rPr>
                <w:rFonts w:cstheme="minorHAnsi"/>
                <w:sz w:val="20"/>
                <w:szCs w:val="20"/>
              </w:rPr>
              <w:t xml:space="preserve"> of </w:t>
            </w:r>
            <w:r w:rsidR="003331AF" w:rsidRPr="00911CB2">
              <w:rPr>
                <w:rFonts w:cstheme="minorHAnsi"/>
                <w:sz w:val="20"/>
                <w:szCs w:val="20"/>
              </w:rPr>
              <w:t xml:space="preserve">DHHS’s </w:t>
            </w:r>
            <w:r w:rsidR="009862E9" w:rsidRPr="00911CB2">
              <w:rPr>
                <w:rFonts w:cstheme="minorHAnsi"/>
                <w:sz w:val="20"/>
                <w:szCs w:val="20"/>
              </w:rPr>
              <w:t>request.</w:t>
            </w:r>
          </w:p>
        </w:tc>
        <w:tc>
          <w:tcPr>
            <w:tcW w:w="3415" w:type="dxa"/>
          </w:tcPr>
          <w:p w14:paraId="4ED7D0D3" w14:textId="7D288491" w:rsidR="009862E9" w:rsidRPr="00911CB2" w:rsidRDefault="005761A8" w:rsidP="00912F6B">
            <w:pPr>
              <w:jc w:val="both"/>
              <w:rPr>
                <w:rFonts w:cstheme="minorHAnsi"/>
                <w:sz w:val="20"/>
                <w:szCs w:val="20"/>
              </w:rPr>
            </w:pPr>
            <w:r w:rsidRPr="00911CB2">
              <w:rPr>
                <w:rFonts w:cstheme="minorHAnsi"/>
                <w:sz w:val="20"/>
                <w:szCs w:val="20"/>
              </w:rPr>
              <w:t xml:space="preserve"> DHHS may assess $500 per incident per day not in compliance with performance standard.  </w:t>
            </w:r>
          </w:p>
        </w:tc>
      </w:tr>
      <w:tr w:rsidR="00C10B1F" w:rsidRPr="00911CB2" w14:paraId="6CCF7878" w14:textId="77777777" w:rsidTr="006C2365">
        <w:trPr>
          <w:trHeight w:val="152"/>
        </w:trPr>
        <w:tc>
          <w:tcPr>
            <w:tcW w:w="1345" w:type="dxa"/>
            <w:vAlign w:val="center"/>
          </w:tcPr>
          <w:p w14:paraId="19034D5F"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2EBC0636" w14:textId="77777777" w:rsidR="00C10B1F" w:rsidRPr="00911CB2" w:rsidRDefault="00C10B1F" w:rsidP="00912F6B">
            <w:pPr>
              <w:jc w:val="both"/>
              <w:rPr>
                <w:rFonts w:cstheme="minorHAnsi"/>
                <w:sz w:val="20"/>
                <w:szCs w:val="20"/>
              </w:rPr>
            </w:pPr>
            <w:r w:rsidRPr="00911CB2">
              <w:rPr>
                <w:rFonts w:cstheme="minorHAnsi"/>
                <w:sz w:val="20"/>
                <w:szCs w:val="20"/>
              </w:rPr>
              <w:t>IVM-30</w:t>
            </w:r>
          </w:p>
        </w:tc>
        <w:tc>
          <w:tcPr>
            <w:tcW w:w="3825" w:type="dxa"/>
          </w:tcPr>
          <w:p w14:paraId="7E471124" w14:textId="4F08B2E7" w:rsidR="00C10B1F" w:rsidRPr="00911CB2" w:rsidRDefault="00C10B1F" w:rsidP="00912F6B">
            <w:pPr>
              <w:jc w:val="both"/>
              <w:rPr>
                <w:rFonts w:cstheme="minorHAnsi"/>
                <w:sz w:val="20"/>
                <w:szCs w:val="20"/>
              </w:rPr>
            </w:pPr>
            <w:r w:rsidRPr="00911CB2">
              <w:rPr>
                <w:rFonts w:cstheme="minorHAnsi"/>
                <w:sz w:val="20"/>
                <w:szCs w:val="20"/>
              </w:rPr>
              <w:t xml:space="preserve">Solution must obtain and maintain CMS quarterly drug rebate information necessary for </w:t>
            </w:r>
            <w:r w:rsidR="0009186B" w:rsidRPr="00911CB2">
              <w:rPr>
                <w:rFonts w:cstheme="minorHAnsi"/>
                <w:sz w:val="20"/>
                <w:szCs w:val="20"/>
              </w:rPr>
              <w:t xml:space="preserve">rebate invoicing and CMS federal </w:t>
            </w:r>
            <w:r w:rsidR="00143F5A" w:rsidRPr="00911CB2">
              <w:rPr>
                <w:rFonts w:cstheme="minorHAnsi"/>
                <w:sz w:val="20"/>
                <w:szCs w:val="20"/>
              </w:rPr>
              <w:t>reporting.</w:t>
            </w:r>
          </w:p>
          <w:p w14:paraId="076995E1" w14:textId="77777777" w:rsidR="00C10B1F" w:rsidRPr="00911CB2" w:rsidRDefault="00C10B1F" w:rsidP="00912F6B">
            <w:pPr>
              <w:numPr>
                <w:ilvl w:val="0"/>
                <w:numId w:val="2"/>
              </w:numPr>
              <w:jc w:val="both"/>
              <w:rPr>
                <w:rFonts w:cstheme="minorHAnsi"/>
                <w:sz w:val="20"/>
                <w:szCs w:val="20"/>
              </w:rPr>
            </w:pPr>
            <w:r w:rsidRPr="00911CB2">
              <w:rPr>
                <w:rFonts w:cstheme="minorHAnsi"/>
                <w:sz w:val="20"/>
                <w:szCs w:val="20"/>
              </w:rPr>
              <w:t>Unit Rebate Amounts</w:t>
            </w:r>
          </w:p>
          <w:p w14:paraId="78A79FB1" w14:textId="77777777" w:rsidR="00C10B1F" w:rsidRPr="00911CB2" w:rsidRDefault="00C10B1F" w:rsidP="00912F6B">
            <w:pPr>
              <w:numPr>
                <w:ilvl w:val="0"/>
                <w:numId w:val="2"/>
              </w:numPr>
              <w:jc w:val="both"/>
              <w:rPr>
                <w:rFonts w:cstheme="minorHAnsi"/>
                <w:sz w:val="20"/>
                <w:szCs w:val="20"/>
              </w:rPr>
            </w:pPr>
            <w:r w:rsidRPr="00911CB2">
              <w:rPr>
                <w:rFonts w:cstheme="minorHAnsi"/>
                <w:sz w:val="20"/>
                <w:szCs w:val="20"/>
              </w:rPr>
              <w:t>Labeler Information</w:t>
            </w:r>
          </w:p>
          <w:p w14:paraId="6E0A074D" w14:textId="77777777" w:rsidR="00C10B1F" w:rsidRPr="00911CB2" w:rsidRDefault="00C10B1F" w:rsidP="00912F6B">
            <w:pPr>
              <w:numPr>
                <w:ilvl w:val="0"/>
                <w:numId w:val="2"/>
              </w:numPr>
              <w:jc w:val="both"/>
              <w:rPr>
                <w:rFonts w:cstheme="minorHAnsi"/>
                <w:sz w:val="20"/>
                <w:szCs w:val="20"/>
              </w:rPr>
            </w:pPr>
            <w:r w:rsidRPr="00911CB2">
              <w:rPr>
                <w:rFonts w:cstheme="minorHAnsi"/>
                <w:sz w:val="20"/>
                <w:szCs w:val="20"/>
              </w:rPr>
              <w:t>Unit Rebate Offset Amounts</w:t>
            </w:r>
          </w:p>
          <w:p w14:paraId="7AC94223" w14:textId="77777777" w:rsidR="0009186B" w:rsidRPr="00911CB2" w:rsidRDefault="00856A5E" w:rsidP="00912F6B">
            <w:pPr>
              <w:numPr>
                <w:ilvl w:val="0"/>
                <w:numId w:val="2"/>
              </w:numPr>
              <w:jc w:val="both"/>
              <w:rPr>
                <w:rFonts w:cstheme="minorHAnsi"/>
                <w:sz w:val="20"/>
                <w:szCs w:val="20"/>
              </w:rPr>
            </w:pPr>
            <w:r w:rsidRPr="00911CB2">
              <w:rPr>
                <w:rFonts w:cstheme="minorHAnsi"/>
                <w:sz w:val="20"/>
                <w:szCs w:val="20"/>
              </w:rPr>
              <w:t>Applicable, accrued labeler interest</w:t>
            </w:r>
          </w:p>
          <w:p w14:paraId="51A64A07" w14:textId="289C219E" w:rsidR="00856A5E" w:rsidRPr="00911CB2" w:rsidRDefault="0009186B" w:rsidP="00912F6B">
            <w:pPr>
              <w:numPr>
                <w:ilvl w:val="0"/>
                <w:numId w:val="2"/>
              </w:numPr>
              <w:jc w:val="both"/>
              <w:rPr>
                <w:rFonts w:cstheme="minorHAnsi"/>
                <w:sz w:val="20"/>
                <w:szCs w:val="20"/>
              </w:rPr>
            </w:pPr>
            <w:r w:rsidRPr="00911CB2">
              <w:rPr>
                <w:rFonts w:eastAsia="Times New Roman" w:cstheme="minorHAnsi"/>
                <w:sz w:val="20"/>
                <w:szCs w:val="20"/>
              </w:rPr>
              <w:t>Guaranteed Net Unit Rebate Prices (GNUPs) by NDC when applicable.</w:t>
            </w:r>
          </w:p>
        </w:tc>
        <w:tc>
          <w:tcPr>
            <w:tcW w:w="3825" w:type="dxa"/>
          </w:tcPr>
          <w:p w14:paraId="7372CAC7" w14:textId="77777777" w:rsidR="00C10B1F" w:rsidRPr="00911CB2" w:rsidRDefault="00C10B1F" w:rsidP="00912F6B">
            <w:pPr>
              <w:jc w:val="both"/>
              <w:rPr>
                <w:rFonts w:cstheme="minorHAnsi"/>
                <w:sz w:val="20"/>
                <w:szCs w:val="20"/>
              </w:rPr>
            </w:pPr>
            <w:r w:rsidRPr="00911CB2">
              <w:rPr>
                <w:rFonts w:cstheme="minorHAnsi"/>
                <w:sz w:val="20"/>
                <w:szCs w:val="20"/>
              </w:rPr>
              <w:t>Prior to the subsequent quarterly invoicing cycle.</w:t>
            </w:r>
          </w:p>
        </w:tc>
        <w:tc>
          <w:tcPr>
            <w:tcW w:w="3415" w:type="dxa"/>
          </w:tcPr>
          <w:p w14:paraId="15DA2523" w14:textId="1BC42E92" w:rsidR="00C10B1F" w:rsidRPr="00911CB2" w:rsidRDefault="0087085C" w:rsidP="00912F6B">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C10B1F" w:rsidRPr="00911CB2" w14:paraId="0EDDC17E" w14:textId="77777777" w:rsidTr="006C2365">
        <w:trPr>
          <w:trHeight w:val="152"/>
        </w:trPr>
        <w:tc>
          <w:tcPr>
            <w:tcW w:w="1345" w:type="dxa"/>
            <w:vAlign w:val="center"/>
          </w:tcPr>
          <w:p w14:paraId="6E4D7BBE"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2D911472" w14:textId="77777777" w:rsidR="00C10B1F" w:rsidRPr="00911CB2" w:rsidRDefault="00C10B1F" w:rsidP="00912F6B">
            <w:pPr>
              <w:jc w:val="both"/>
              <w:rPr>
                <w:rFonts w:cstheme="minorHAnsi"/>
                <w:sz w:val="20"/>
                <w:szCs w:val="20"/>
              </w:rPr>
            </w:pPr>
            <w:r w:rsidRPr="00911CB2">
              <w:rPr>
                <w:rFonts w:cstheme="minorHAnsi"/>
                <w:sz w:val="20"/>
                <w:szCs w:val="20"/>
              </w:rPr>
              <w:t>IVM-31</w:t>
            </w:r>
          </w:p>
        </w:tc>
        <w:tc>
          <w:tcPr>
            <w:tcW w:w="3825" w:type="dxa"/>
          </w:tcPr>
          <w:p w14:paraId="31CA2CF6" w14:textId="183879FF" w:rsidR="00C10B1F" w:rsidRPr="00911CB2" w:rsidRDefault="00C10B1F" w:rsidP="00912F6B">
            <w:pPr>
              <w:pStyle w:val="TableParagraph"/>
              <w:spacing w:line="240" w:lineRule="auto"/>
              <w:ind w:left="0" w:right="106"/>
              <w:jc w:val="both"/>
              <w:rPr>
                <w:rFonts w:asciiTheme="minorHAnsi" w:hAnsiTheme="minorHAnsi" w:cstheme="minorHAnsi"/>
                <w:sz w:val="20"/>
                <w:szCs w:val="20"/>
              </w:rPr>
            </w:pPr>
            <w:r w:rsidRPr="00911CB2">
              <w:rPr>
                <w:rFonts w:asciiTheme="minorHAnsi" w:hAnsiTheme="minorHAnsi" w:cstheme="minorHAnsi"/>
                <w:sz w:val="20"/>
                <w:szCs w:val="20"/>
              </w:rPr>
              <w:t>Solution must accept and maintain information provided by DHHS necessary for the generation of accurate rebate invoices</w:t>
            </w:r>
            <w:r w:rsidR="00856A5E" w:rsidRPr="00911CB2">
              <w:rPr>
                <w:rFonts w:asciiTheme="minorHAnsi" w:hAnsiTheme="minorHAnsi" w:cstheme="minorHAnsi"/>
                <w:sz w:val="20"/>
                <w:szCs w:val="20"/>
              </w:rPr>
              <w:t>, including but not limited to the following</w:t>
            </w:r>
            <w:r w:rsidRPr="00911CB2">
              <w:rPr>
                <w:rFonts w:asciiTheme="minorHAnsi" w:hAnsiTheme="minorHAnsi" w:cstheme="minorHAnsi"/>
                <w:sz w:val="20"/>
                <w:szCs w:val="20"/>
              </w:rPr>
              <w:t>:</w:t>
            </w:r>
          </w:p>
          <w:p w14:paraId="342BA126" w14:textId="503B6B08" w:rsidR="00C10B1F" w:rsidRPr="00911CB2" w:rsidRDefault="00C10B1F"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 xml:space="preserve">Claims </w:t>
            </w:r>
            <w:r w:rsidR="00143F5A" w:rsidRPr="00911CB2">
              <w:rPr>
                <w:rFonts w:asciiTheme="minorHAnsi" w:hAnsiTheme="minorHAnsi" w:cstheme="minorHAnsi"/>
                <w:sz w:val="20"/>
                <w:szCs w:val="20"/>
              </w:rPr>
              <w:t>utilization of</w:t>
            </w:r>
            <w:r w:rsidRPr="00911CB2">
              <w:rPr>
                <w:rFonts w:asciiTheme="minorHAnsi" w:hAnsiTheme="minorHAnsi" w:cstheme="minorHAnsi"/>
                <w:sz w:val="20"/>
                <w:szCs w:val="20"/>
              </w:rPr>
              <w:t xml:space="preserve"> information</w:t>
            </w:r>
          </w:p>
          <w:p w14:paraId="08D20919" w14:textId="7264ACF9" w:rsidR="00C10B1F" w:rsidRPr="00911CB2" w:rsidRDefault="00C10B1F"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 xml:space="preserve">Managed Care Organization (MCO) </w:t>
            </w:r>
            <w:r w:rsidR="00856A5E" w:rsidRPr="00911CB2">
              <w:rPr>
                <w:rFonts w:asciiTheme="minorHAnsi" w:hAnsiTheme="minorHAnsi" w:cstheme="minorHAnsi"/>
                <w:sz w:val="20"/>
                <w:szCs w:val="20"/>
              </w:rPr>
              <w:t xml:space="preserve">encounter </w:t>
            </w:r>
            <w:r w:rsidRPr="00911CB2">
              <w:rPr>
                <w:rFonts w:asciiTheme="minorHAnsi" w:hAnsiTheme="minorHAnsi" w:cstheme="minorHAnsi"/>
                <w:sz w:val="20"/>
                <w:szCs w:val="20"/>
              </w:rPr>
              <w:t>information</w:t>
            </w:r>
          </w:p>
          <w:p w14:paraId="7CB3B2D5" w14:textId="77777777" w:rsidR="00C10B1F" w:rsidRPr="00911CB2" w:rsidRDefault="00C10B1F"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Drug description information</w:t>
            </w:r>
          </w:p>
          <w:p w14:paraId="14E0A2C6" w14:textId="77777777" w:rsidR="00C10B1F" w:rsidRPr="00911CB2" w:rsidRDefault="00C10B1F"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Nebraska Medicaid Provider information</w:t>
            </w:r>
          </w:p>
          <w:p w14:paraId="122744FF" w14:textId="77777777" w:rsidR="00C10B1F" w:rsidRPr="00911CB2" w:rsidRDefault="00C10B1F"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National Provider Identification (NPI) information</w:t>
            </w:r>
          </w:p>
          <w:p w14:paraId="08D1301E" w14:textId="3AC812A0" w:rsidR="0009186B" w:rsidRPr="00911CB2" w:rsidRDefault="0009186B" w:rsidP="00912F6B">
            <w:pPr>
              <w:pStyle w:val="TableParagraph"/>
              <w:numPr>
                <w:ilvl w:val="0"/>
                <w:numId w:val="3"/>
              </w:numPr>
              <w:spacing w:line="240" w:lineRule="auto"/>
              <w:ind w:right="106"/>
              <w:jc w:val="both"/>
              <w:rPr>
                <w:rFonts w:asciiTheme="minorHAnsi" w:hAnsiTheme="minorHAnsi" w:cstheme="minorHAnsi"/>
                <w:sz w:val="20"/>
                <w:szCs w:val="20"/>
              </w:rPr>
            </w:pPr>
            <w:r w:rsidRPr="00911CB2">
              <w:rPr>
                <w:rFonts w:asciiTheme="minorHAnsi" w:hAnsiTheme="minorHAnsi" w:cstheme="minorHAnsi"/>
                <w:sz w:val="20"/>
                <w:szCs w:val="20"/>
              </w:rPr>
              <w:t>340B modifiers at a claim level when applicable</w:t>
            </w:r>
          </w:p>
        </w:tc>
        <w:tc>
          <w:tcPr>
            <w:tcW w:w="3825" w:type="dxa"/>
          </w:tcPr>
          <w:p w14:paraId="5C2FAC7D" w14:textId="77777777" w:rsidR="00C10B1F" w:rsidRPr="00911CB2" w:rsidRDefault="00C10B1F" w:rsidP="00912F6B">
            <w:pPr>
              <w:jc w:val="both"/>
              <w:rPr>
                <w:rFonts w:cstheme="minorHAnsi"/>
                <w:sz w:val="20"/>
                <w:szCs w:val="20"/>
              </w:rPr>
            </w:pPr>
            <w:r w:rsidRPr="00911CB2">
              <w:rPr>
                <w:rFonts w:cstheme="minorHAnsi"/>
                <w:sz w:val="20"/>
                <w:szCs w:val="20"/>
              </w:rPr>
              <w:t>Prior to the subsequent quarterly invoicing cycle.</w:t>
            </w:r>
          </w:p>
        </w:tc>
        <w:tc>
          <w:tcPr>
            <w:tcW w:w="3415" w:type="dxa"/>
          </w:tcPr>
          <w:p w14:paraId="2BF91D17" w14:textId="12860380" w:rsidR="00C10B1F" w:rsidRPr="00911CB2" w:rsidRDefault="004A75E3" w:rsidP="00912F6B">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8D3C20" w:rsidRPr="00911CB2" w14:paraId="64669651" w14:textId="77777777" w:rsidTr="006C2365">
        <w:trPr>
          <w:trHeight w:val="152"/>
        </w:trPr>
        <w:tc>
          <w:tcPr>
            <w:tcW w:w="1345" w:type="dxa"/>
            <w:vAlign w:val="center"/>
          </w:tcPr>
          <w:p w14:paraId="7C43479C" w14:textId="77777777" w:rsidR="008D3C20" w:rsidRPr="00911CB2" w:rsidRDefault="008D3C20">
            <w:pPr>
              <w:pStyle w:val="ListParagraph"/>
              <w:numPr>
                <w:ilvl w:val="0"/>
                <w:numId w:val="1"/>
              </w:numPr>
              <w:spacing w:after="0" w:line="240" w:lineRule="auto"/>
              <w:jc w:val="both"/>
              <w:rPr>
                <w:rFonts w:cstheme="minorHAnsi"/>
                <w:sz w:val="20"/>
                <w:szCs w:val="20"/>
              </w:rPr>
            </w:pPr>
          </w:p>
        </w:tc>
        <w:tc>
          <w:tcPr>
            <w:tcW w:w="1530" w:type="dxa"/>
            <w:vAlign w:val="center"/>
          </w:tcPr>
          <w:p w14:paraId="3C1F33BE" w14:textId="1F415506" w:rsidR="008D3C20" w:rsidRPr="00911CB2" w:rsidRDefault="00D663D3">
            <w:pPr>
              <w:jc w:val="both"/>
              <w:rPr>
                <w:rFonts w:cstheme="minorHAnsi"/>
                <w:sz w:val="20"/>
                <w:szCs w:val="20"/>
              </w:rPr>
            </w:pPr>
            <w:r>
              <w:rPr>
                <w:rFonts w:cstheme="minorHAnsi"/>
                <w:sz w:val="20"/>
                <w:szCs w:val="20"/>
              </w:rPr>
              <w:t>IVM – Monthly Reporting</w:t>
            </w:r>
          </w:p>
        </w:tc>
        <w:tc>
          <w:tcPr>
            <w:tcW w:w="3825" w:type="dxa"/>
          </w:tcPr>
          <w:p w14:paraId="1410D478" w14:textId="0C3A1712" w:rsidR="008D3C20" w:rsidRPr="00911CB2" w:rsidRDefault="008D3C20">
            <w:pPr>
              <w:pStyle w:val="TableParagraph"/>
              <w:spacing w:line="240" w:lineRule="auto"/>
              <w:ind w:left="0" w:right="106"/>
              <w:jc w:val="both"/>
              <w:rPr>
                <w:rFonts w:asciiTheme="minorHAnsi" w:hAnsiTheme="minorHAnsi" w:cstheme="minorHAnsi"/>
                <w:sz w:val="20"/>
                <w:szCs w:val="20"/>
              </w:rPr>
            </w:pPr>
            <w:r>
              <w:rPr>
                <w:rFonts w:asciiTheme="minorHAnsi" w:hAnsiTheme="minorHAnsi" w:cstheme="minorHAnsi"/>
                <w:sz w:val="20"/>
                <w:szCs w:val="20"/>
              </w:rPr>
              <w:t>Solution must generate monthly reporting refreshed within one (1) business day following the end of the calendar month reflecting the prior month for the following requirements: IVM-38, IVM-41, IVM-42, IVM-43, IVM-44, IVM-46</w:t>
            </w:r>
            <w:r w:rsidR="00274317">
              <w:rPr>
                <w:rFonts w:asciiTheme="minorHAnsi" w:hAnsiTheme="minorHAnsi" w:cstheme="minorHAnsi"/>
                <w:sz w:val="20"/>
                <w:szCs w:val="20"/>
              </w:rPr>
              <w:t>, IVM-50, IVM-</w:t>
            </w:r>
            <w:proofErr w:type="gramStart"/>
            <w:r w:rsidR="00274317">
              <w:rPr>
                <w:rFonts w:asciiTheme="minorHAnsi" w:hAnsiTheme="minorHAnsi" w:cstheme="minorHAnsi"/>
                <w:sz w:val="20"/>
                <w:szCs w:val="20"/>
              </w:rPr>
              <w:t>52,  IVM</w:t>
            </w:r>
            <w:proofErr w:type="gramEnd"/>
            <w:r w:rsidR="00274317">
              <w:rPr>
                <w:rFonts w:asciiTheme="minorHAnsi" w:hAnsiTheme="minorHAnsi" w:cstheme="minorHAnsi"/>
                <w:sz w:val="20"/>
                <w:szCs w:val="20"/>
              </w:rPr>
              <w:t>-55, IVM-56, IVM-57</w:t>
            </w:r>
          </w:p>
        </w:tc>
        <w:tc>
          <w:tcPr>
            <w:tcW w:w="3825" w:type="dxa"/>
          </w:tcPr>
          <w:p w14:paraId="64B3CE44" w14:textId="23047AB3" w:rsidR="008D3C20" w:rsidRPr="00911CB2" w:rsidRDefault="008D3C20">
            <w:pPr>
              <w:jc w:val="both"/>
              <w:rPr>
                <w:rFonts w:cstheme="minorHAnsi"/>
                <w:sz w:val="20"/>
                <w:szCs w:val="20"/>
              </w:rPr>
            </w:pPr>
            <w:r w:rsidRPr="00062C9B">
              <w:rPr>
                <w:rFonts w:cstheme="minorHAnsi"/>
                <w:sz w:val="20"/>
                <w:szCs w:val="20"/>
              </w:rPr>
              <w:t>Frequency is monthly</w:t>
            </w:r>
            <w:r w:rsidRPr="00911CB2">
              <w:rPr>
                <w:rFonts w:cstheme="minorHAnsi"/>
                <w:sz w:val="20"/>
                <w:szCs w:val="20"/>
              </w:rPr>
              <w:t xml:space="preserve"> – report must be refreshed within one (1) business day following end of calendar month. Data must reflect prior month.</w:t>
            </w:r>
          </w:p>
        </w:tc>
        <w:tc>
          <w:tcPr>
            <w:tcW w:w="3415" w:type="dxa"/>
          </w:tcPr>
          <w:p w14:paraId="60FCFC44" w14:textId="68D3189D" w:rsidR="008D3C20" w:rsidRPr="00911CB2" w:rsidRDefault="008D3C20">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D663D3" w:rsidRPr="00911CB2" w14:paraId="6769C1FE" w14:textId="77777777" w:rsidTr="006C2365">
        <w:trPr>
          <w:trHeight w:val="152"/>
        </w:trPr>
        <w:tc>
          <w:tcPr>
            <w:tcW w:w="1345" w:type="dxa"/>
            <w:vAlign w:val="center"/>
          </w:tcPr>
          <w:p w14:paraId="48131D02" w14:textId="085181E7" w:rsidR="00D663D3" w:rsidRPr="00D663D3" w:rsidRDefault="00D663D3"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204CABE5" w14:textId="0461FC5B" w:rsidR="00D663D3" w:rsidRPr="00911CB2" w:rsidDel="00D663D3" w:rsidRDefault="007558F4">
            <w:pPr>
              <w:jc w:val="both"/>
              <w:rPr>
                <w:rFonts w:cstheme="minorHAnsi"/>
                <w:sz w:val="20"/>
                <w:szCs w:val="20"/>
              </w:rPr>
            </w:pPr>
            <w:r>
              <w:rPr>
                <w:rFonts w:cstheme="minorHAnsi"/>
                <w:sz w:val="20"/>
                <w:szCs w:val="20"/>
              </w:rPr>
              <w:t>IVM – Quarterly Reporting</w:t>
            </w:r>
          </w:p>
        </w:tc>
        <w:tc>
          <w:tcPr>
            <w:tcW w:w="3825" w:type="dxa"/>
          </w:tcPr>
          <w:p w14:paraId="386B45AF" w14:textId="7CE63E69" w:rsidR="00D663D3" w:rsidRPr="00911CB2" w:rsidDel="00D663D3" w:rsidRDefault="00D663D3">
            <w:pPr>
              <w:jc w:val="both"/>
              <w:rPr>
                <w:rFonts w:cstheme="minorHAnsi"/>
                <w:sz w:val="20"/>
                <w:szCs w:val="20"/>
              </w:rPr>
            </w:pPr>
            <w:r>
              <w:rPr>
                <w:rFonts w:cstheme="minorHAnsi"/>
                <w:sz w:val="20"/>
                <w:szCs w:val="20"/>
              </w:rPr>
              <w:t xml:space="preserve">Solution must generate quarterly reporting </w:t>
            </w:r>
            <w:r w:rsidRPr="00911CB2">
              <w:rPr>
                <w:rFonts w:cstheme="minorHAnsi"/>
                <w:sz w:val="20"/>
                <w:szCs w:val="20"/>
              </w:rPr>
              <w:t>refreshed within one (1) business day following end of calendar quarter. Data must reflect prior q</w:t>
            </w:r>
            <w:r>
              <w:rPr>
                <w:rFonts w:cstheme="minorHAnsi"/>
                <w:sz w:val="20"/>
                <w:szCs w:val="20"/>
              </w:rPr>
              <w:t>uarter for the following requirements: IVM-39</w:t>
            </w:r>
            <w:r w:rsidR="007558F4">
              <w:rPr>
                <w:rFonts w:cstheme="minorHAnsi"/>
                <w:sz w:val="20"/>
                <w:szCs w:val="20"/>
              </w:rPr>
              <w:t>, IVM-40, IVM-45, IVM-47, IVM-48, IVM-49, IVM-53, IVM-54, IVM-58, IVM-59, IVM-61, IVM-62</w:t>
            </w:r>
          </w:p>
        </w:tc>
        <w:tc>
          <w:tcPr>
            <w:tcW w:w="3825" w:type="dxa"/>
          </w:tcPr>
          <w:p w14:paraId="065D2E15" w14:textId="4D567302" w:rsidR="00D663D3" w:rsidRPr="008D3C20" w:rsidDel="00D663D3" w:rsidRDefault="007558F4">
            <w:pPr>
              <w:jc w:val="both"/>
              <w:rPr>
                <w:rFonts w:cstheme="minorHAnsi"/>
                <w:sz w:val="20"/>
                <w:szCs w:val="20"/>
                <w:highlight w:val="green"/>
              </w:rPr>
            </w:pPr>
            <w:r w:rsidRPr="00911CB2">
              <w:rPr>
                <w:rFonts w:cstheme="minorHAnsi"/>
                <w:sz w:val="20"/>
                <w:szCs w:val="20"/>
              </w:rPr>
              <w:t>Frequency is quarterly – Report must be refreshed within one (1) business day following end of calendar quarter. Data must reflect prior quarter.</w:t>
            </w:r>
          </w:p>
        </w:tc>
        <w:tc>
          <w:tcPr>
            <w:tcW w:w="3415" w:type="dxa"/>
          </w:tcPr>
          <w:p w14:paraId="3FBD977F" w14:textId="61CEC895" w:rsidR="00D663D3" w:rsidRPr="00911CB2" w:rsidDel="00D663D3" w:rsidRDefault="007558F4">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C10B1F" w:rsidRPr="00911CB2" w14:paraId="6ACB9FB8" w14:textId="77777777" w:rsidTr="006C2365">
        <w:trPr>
          <w:trHeight w:val="152"/>
        </w:trPr>
        <w:tc>
          <w:tcPr>
            <w:tcW w:w="1345" w:type="dxa"/>
            <w:vAlign w:val="center"/>
          </w:tcPr>
          <w:p w14:paraId="632D2D49"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572F3A49" w14:textId="77777777" w:rsidR="00C10B1F" w:rsidRPr="00911CB2" w:rsidRDefault="00C10B1F" w:rsidP="00912F6B">
            <w:pPr>
              <w:jc w:val="both"/>
              <w:rPr>
                <w:rFonts w:cstheme="minorHAnsi"/>
                <w:sz w:val="20"/>
                <w:szCs w:val="20"/>
              </w:rPr>
            </w:pPr>
            <w:r w:rsidRPr="00911CB2">
              <w:rPr>
                <w:rFonts w:cstheme="minorHAnsi"/>
                <w:sz w:val="20"/>
                <w:szCs w:val="20"/>
              </w:rPr>
              <w:t>IVM-51</w:t>
            </w:r>
          </w:p>
        </w:tc>
        <w:tc>
          <w:tcPr>
            <w:tcW w:w="3825" w:type="dxa"/>
          </w:tcPr>
          <w:p w14:paraId="49DBEA85" w14:textId="6315CC22" w:rsidR="00C10B1F" w:rsidRPr="00911CB2" w:rsidRDefault="00C10B1F" w:rsidP="00912F6B">
            <w:pPr>
              <w:jc w:val="both"/>
              <w:rPr>
                <w:rFonts w:cstheme="minorHAnsi"/>
                <w:sz w:val="20"/>
                <w:szCs w:val="20"/>
              </w:rPr>
            </w:pPr>
            <w:r w:rsidRPr="00911CB2">
              <w:rPr>
                <w:rFonts w:cstheme="minorHAnsi"/>
                <w:sz w:val="20"/>
                <w:szCs w:val="20"/>
              </w:rPr>
              <w:t xml:space="preserve">Solution must generate a report listing the date the quarterly file was received from CMS, the date the quarterly file was processed by the </w:t>
            </w:r>
            <w:r w:rsidR="006504D9">
              <w:rPr>
                <w:rFonts w:cstheme="minorHAnsi"/>
                <w:sz w:val="20"/>
                <w:szCs w:val="20"/>
              </w:rPr>
              <w:t>vendor</w:t>
            </w:r>
            <w:r w:rsidRPr="00911CB2">
              <w:rPr>
                <w:rFonts w:cstheme="minorHAnsi"/>
                <w:sz w:val="20"/>
                <w:szCs w:val="20"/>
              </w:rPr>
              <w:t>, the date the invoices were submitted to labelers, and the date the invoices were received by the labelers. A sample of the report must be submitted with the Technical Proposal.</w:t>
            </w:r>
          </w:p>
        </w:tc>
        <w:tc>
          <w:tcPr>
            <w:tcW w:w="3825" w:type="dxa"/>
          </w:tcPr>
          <w:p w14:paraId="14C0CEA7" w14:textId="56A6D0D1" w:rsidR="00C10B1F" w:rsidRPr="00911CB2" w:rsidRDefault="00C10B1F" w:rsidP="00912F6B">
            <w:pPr>
              <w:jc w:val="both"/>
              <w:rPr>
                <w:rFonts w:cstheme="minorHAnsi"/>
                <w:sz w:val="20"/>
                <w:szCs w:val="20"/>
              </w:rPr>
            </w:pPr>
            <w:r w:rsidRPr="00911CB2">
              <w:rPr>
                <w:rFonts w:cstheme="minorHAnsi"/>
                <w:sz w:val="20"/>
                <w:szCs w:val="20"/>
              </w:rPr>
              <w:t xml:space="preserve">Frequency is annually and on request – Report must be refreshed within one (1) business day following end of calendar year or from date of request. Data must reflect prior year or </w:t>
            </w:r>
            <w:proofErr w:type="gramStart"/>
            <w:r w:rsidRPr="00911CB2">
              <w:rPr>
                <w:rFonts w:cstheme="minorHAnsi"/>
                <w:sz w:val="20"/>
                <w:szCs w:val="20"/>
              </w:rPr>
              <w:t>time period</w:t>
            </w:r>
            <w:proofErr w:type="gramEnd"/>
            <w:r w:rsidRPr="00911CB2">
              <w:rPr>
                <w:rFonts w:cstheme="minorHAnsi"/>
                <w:sz w:val="20"/>
                <w:szCs w:val="20"/>
              </w:rPr>
              <w:t xml:space="preserve"> specified </w:t>
            </w:r>
            <w:r w:rsidR="00877521">
              <w:rPr>
                <w:rFonts w:cstheme="minorHAnsi"/>
                <w:sz w:val="20"/>
                <w:szCs w:val="20"/>
              </w:rPr>
              <w:t xml:space="preserve">by </w:t>
            </w:r>
            <w:r w:rsidRPr="00911CB2">
              <w:rPr>
                <w:rFonts w:cstheme="minorHAnsi"/>
                <w:sz w:val="20"/>
                <w:szCs w:val="20"/>
              </w:rPr>
              <w:t>DHHS.</w:t>
            </w:r>
          </w:p>
        </w:tc>
        <w:tc>
          <w:tcPr>
            <w:tcW w:w="3415" w:type="dxa"/>
          </w:tcPr>
          <w:p w14:paraId="43C4AA72" w14:textId="5645318E" w:rsidR="00C10B1F" w:rsidRPr="00911CB2" w:rsidRDefault="005E2015" w:rsidP="00912F6B">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C10B1F" w:rsidRPr="00911CB2" w14:paraId="3DC060ED" w14:textId="77777777" w:rsidTr="006C2365">
        <w:trPr>
          <w:trHeight w:val="152"/>
        </w:trPr>
        <w:tc>
          <w:tcPr>
            <w:tcW w:w="1345" w:type="dxa"/>
            <w:vAlign w:val="center"/>
          </w:tcPr>
          <w:p w14:paraId="588C8140"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214751D6" w14:textId="77777777" w:rsidR="00C10B1F" w:rsidRPr="00911CB2" w:rsidRDefault="00C10B1F" w:rsidP="00912F6B">
            <w:pPr>
              <w:jc w:val="both"/>
              <w:rPr>
                <w:rFonts w:cstheme="minorHAnsi"/>
                <w:sz w:val="20"/>
                <w:szCs w:val="20"/>
              </w:rPr>
            </w:pPr>
            <w:r w:rsidRPr="00911CB2">
              <w:rPr>
                <w:rFonts w:cstheme="minorHAnsi"/>
                <w:sz w:val="20"/>
                <w:szCs w:val="20"/>
              </w:rPr>
              <w:t>IVM-60</w:t>
            </w:r>
          </w:p>
        </w:tc>
        <w:tc>
          <w:tcPr>
            <w:tcW w:w="3825" w:type="dxa"/>
          </w:tcPr>
          <w:p w14:paraId="481B5390" w14:textId="72FD7A69" w:rsidR="00C10B1F" w:rsidRPr="00911CB2" w:rsidRDefault="006504D9" w:rsidP="00912F6B">
            <w:pPr>
              <w:jc w:val="both"/>
              <w:rPr>
                <w:rFonts w:cstheme="minorHAnsi"/>
                <w:sz w:val="20"/>
                <w:szCs w:val="20"/>
              </w:rPr>
            </w:pPr>
            <w:r>
              <w:rPr>
                <w:rFonts w:cstheme="minorHAnsi"/>
                <w:sz w:val="20"/>
                <w:szCs w:val="20"/>
              </w:rPr>
              <w:t>Vendo</w:t>
            </w:r>
            <w:r w:rsidRPr="00911CB2">
              <w:rPr>
                <w:rFonts w:cstheme="minorHAnsi"/>
                <w:sz w:val="20"/>
                <w:szCs w:val="20"/>
              </w:rPr>
              <w:t xml:space="preserve">r </w:t>
            </w:r>
            <w:r w:rsidR="00C10B1F" w:rsidRPr="00911CB2">
              <w:rPr>
                <w:rFonts w:cstheme="minorHAnsi"/>
                <w:sz w:val="20"/>
                <w:szCs w:val="20"/>
              </w:rPr>
              <w:t>must provide DHHS with a copy of CMS pharmacy-related communications (e.g., manufacturer or labeler code changes, DESI code changes, product deletions, labeler terminations, new manufacturer or labelers).</w:t>
            </w:r>
          </w:p>
        </w:tc>
        <w:tc>
          <w:tcPr>
            <w:tcW w:w="3825" w:type="dxa"/>
          </w:tcPr>
          <w:p w14:paraId="5B618677" w14:textId="014DFB9E" w:rsidR="00C10B1F" w:rsidRPr="00911CB2" w:rsidRDefault="00C10B1F" w:rsidP="00912F6B">
            <w:pPr>
              <w:jc w:val="both"/>
              <w:rPr>
                <w:rFonts w:cstheme="minorHAnsi"/>
                <w:sz w:val="20"/>
                <w:szCs w:val="20"/>
              </w:rPr>
            </w:pPr>
            <w:r w:rsidRPr="00911CB2">
              <w:rPr>
                <w:rFonts w:cstheme="minorHAnsi"/>
                <w:sz w:val="20"/>
                <w:szCs w:val="20"/>
              </w:rPr>
              <w:t xml:space="preserve">Within one (1) business day of receipt by the </w:t>
            </w:r>
            <w:r w:rsidR="006504D9">
              <w:rPr>
                <w:rFonts w:cstheme="minorHAnsi"/>
                <w:sz w:val="20"/>
                <w:szCs w:val="20"/>
              </w:rPr>
              <w:t>Vendor</w:t>
            </w:r>
            <w:r w:rsidR="006504D9" w:rsidRPr="00911CB2">
              <w:rPr>
                <w:rFonts w:cstheme="minorHAnsi"/>
                <w:sz w:val="20"/>
                <w:szCs w:val="20"/>
              </w:rPr>
              <w:t xml:space="preserve"> </w:t>
            </w:r>
            <w:r w:rsidRPr="00911CB2">
              <w:rPr>
                <w:rFonts w:cstheme="minorHAnsi"/>
                <w:sz w:val="20"/>
                <w:szCs w:val="20"/>
              </w:rPr>
              <w:t>of CMS communication.</w:t>
            </w:r>
          </w:p>
        </w:tc>
        <w:tc>
          <w:tcPr>
            <w:tcW w:w="3415" w:type="dxa"/>
          </w:tcPr>
          <w:p w14:paraId="47706430" w14:textId="27BA9E69" w:rsidR="00C10B1F" w:rsidRPr="00911CB2" w:rsidRDefault="004675EA" w:rsidP="00912F6B">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C10B1F" w:rsidRPr="00911CB2" w14:paraId="7CB13E58" w14:textId="77777777" w:rsidTr="006C2365">
        <w:trPr>
          <w:trHeight w:val="152"/>
        </w:trPr>
        <w:tc>
          <w:tcPr>
            <w:tcW w:w="1345" w:type="dxa"/>
            <w:vAlign w:val="center"/>
          </w:tcPr>
          <w:p w14:paraId="4B59067E"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315ADBE7" w14:textId="77777777" w:rsidR="00C10B1F" w:rsidRPr="00911CB2" w:rsidRDefault="00C10B1F" w:rsidP="00912F6B">
            <w:pPr>
              <w:jc w:val="both"/>
              <w:rPr>
                <w:rFonts w:cstheme="minorHAnsi"/>
                <w:sz w:val="20"/>
                <w:szCs w:val="20"/>
              </w:rPr>
            </w:pPr>
            <w:r w:rsidRPr="00911CB2">
              <w:rPr>
                <w:rFonts w:cstheme="minorHAnsi"/>
                <w:sz w:val="20"/>
                <w:szCs w:val="20"/>
              </w:rPr>
              <w:t>IVM-63</w:t>
            </w:r>
          </w:p>
        </w:tc>
        <w:tc>
          <w:tcPr>
            <w:tcW w:w="3825" w:type="dxa"/>
          </w:tcPr>
          <w:p w14:paraId="05B2F561" w14:textId="6B99DD2E" w:rsidR="00C10B1F" w:rsidRPr="00911CB2" w:rsidRDefault="00C10B1F" w:rsidP="00912F6B">
            <w:pPr>
              <w:jc w:val="both"/>
              <w:rPr>
                <w:rFonts w:cstheme="minorHAnsi"/>
                <w:sz w:val="20"/>
                <w:szCs w:val="20"/>
              </w:rPr>
            </w:pPr>
            <w:proofErr w:type="gramStart"/>
            <w:r w:rsidRPr="00911CB2">
              <w:rPr>
                <w:rFonts w:cstheme="minorHAnsi"/>
                <w:sz w:val="20"/>
                <w:szCs w:val="20"/>
              </w:rPr>
              <w:t>Solution</w:t>
            </w:r>
            <w:proofErr w:type="gramEnd"/>
            <w:r w:rsidRPr="00911CB2">
              <w:rPr>
                <w:rFonts w:cstheme="minorHAnsi"/>
                <w:sz w:val="20"/>
                <w:szCs w:val="20"/>
              </w:rPr>
              <w:t xml:space="preserve"> must </w:t>
            </w:r>
            <w:r w:rsidR="00DF1EF5" w:rsidRPr="00911CB2">
              <w:rPr>
                <w:rFonts w:cstheme="minorHAnsi"/>
                <w:sz w:val="20"/>
                <w:szCs w:val="20"/>
              </w:rPr>
              <w:t xml:space="preserve">have the capability to </w:t>
            </w:r>
            <w:r w:rsidRPr="00911CB2">
              <w:rPr>
                <w:rFonts w:cstheme="minorHAnsi"/>
                <w:sz w:val="20"/>
                <w:szCs w:val="20"/>
              </w:rPr>
              <w:t xml:space="preserve">generate ad-hoc reports against information provided by CMS and DHHS and information generated by the </w:t>
            </w:r>
            <w:r w:rsidR="006504D9">
              <w:rPr>
                <w:rFonts w:cstheme="minorHAnsi"/>
                <w:sz w:val="20"/>
                <w:szCs w:val="20"/>
              </w:rPr>
              <w:t>vendor</w:t>
            </w:r>
            <w:r w:rsidR="006504D9" w:rsidRPr="00911CB2">
              <w:rPr>
                <w:rFonts w:cstheme="minorHAnsi"/>
                <w:sz w:val="20"/>
                <w:szCs w:val="20"/>
              </w:rPr>
              <w:t xml:space="preserve">’s </w:t>
            </w:r>
            <w:r w:rsidRPr="00911CB2">
              <w:rPr>
                <w:rFonts w:cstheme="minorHAnsi"/>
                <w:sz w:val="20"/>
                <w:szCs w:val="20"/>
              </w:rPr>
              <w:t xml:space="preserve">proposed solution used for drug rebate invoicing, dispute management, and accounting processes. </w:t>
            </w:r>
          </w:p>
        </w:tc>
        <w:tc>
          <w:tcPr>
            <w:tcW w:w="3825" w:type="dxa"/>
          </w:tcPr>
          <w:p w14:paraId="3D7C3027" w14:textId="59EED623" w:rsidR="00C10B1F" w:rsidRPr="00911CB2" w:rsidRDefault="00BF1A5F" w:rsidP="00912F6B">
            <w:pPr>
              <w:jc w:val="both"/>
              <w:rPr>
                <w:rFonts w:cstheme="minorHAnsi"/>
                <w:sz w:val="20"/>
                <w:szCs w:val="20"/>
              </w:rPr>
            </w:pPr>
            <w:r w:rsidRPr="00911CB2">
              <w:rPr>
                <w:rFonts w:cstheme="minorHAnsi"/>
                <w:sz w:val="20"/>
                <w:szCs w:val="20"/>
              </w:rPr>
              <w:t>Frequency for each report due date will be determined by the Department relative to the request priority.</w:t>
            </w:r>
          </w:p>
        </w:tc>
        <w:tc>
          <w:tcPr>
            <w:tcW w:w="3415" w:type="dxa"/>
          </w:tcPr>
          <w:p w14:paraId="60501E8F" w14:textId="3A99D9C7" w:rsidR="00C10B1F" w:rsidRPr="00911CB2" w:rsidRDefault="00BF1A5F" w:rsidP="00912F6B">
            <w:pPr>
              <w:jc w:val="both"/>
              <w:rPr>
                <w:rFonts w:cstheme="minorHAnsi"/>
                <w:sz w:val="20"/>
                <w:szCs w:val="20"/>
              </w:rPr>
            </w:pPr>
            <w:r w:rsidRPr="00911CB2">
              <w:rPr>
                <w:rFonts w:cstheme="minorHAnsi"/>
                <w:sz w:val="20"/>
                <w:szCs w:val="20"/>
              </w:rPr>
              <w:t>DHHS may assess $1,000 per incident per day not in compliance with performance standard</w:t>
            </w:r>
            <w:r w:rsidR="001313FF" w:rsidRPr="00911CB2">
              <w:rPr>
                <w:rFonts w:cstheme="minorHAnsi"/>
                <w:sz w:val="20"/>
                <w:szCs w:val="20"/>
              </w:rPr>
              <w:t>.</w:t>
            </w:r>
          </w:p>
        </w:tc>
      </w:tr>
      <w:tr w:rsidR="00C10B1F" w:rsidRPr="00911CB2" w14:paraId="57D15A7A" w14:textId="77777777" w:rsidTr="006C2365">
        <w:trPr>
          <w:trHeight w:val="152"/>
        </w:trPr>
        <w:tc>
          <w:tcPr>
            <w:tcW w:w="1345" w:type="dxa"/>
            <w:vAlign w:val="center"/>
          </w:tcPr>
          <w:p w14:paraId="36B1B379"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5A3F0C63" w14:textId="77777777" w:rsidR="00C10B1F" w:rsidRPr="00911CB2" w:rsidRDefault="00C10B1F" w:rsidP="00912F6B">
            <w:pPr>
              <w:jc w:val="both"/>
              <w:rPr>
                <w:rFonts w:cstheme="minorHAnsi"/>
                <w:sz w:val="20"/>
                <w:szCs w:val="20"/>
              </w:rPr>
            </w:pPr>
            <w:r w:rsidRPr="00911CB2">
              <w:rPr>
                <w:rFonts w:cstheme="minorHAnsi"/>
                <w:sz w:val="20"/>
                <w:szCs w:val="20"/>
              </w:rPr>
              <w:t>IVM-64</w:t>
            </w:r>
          </w:p>
        </w:tc>
        <w:tc>
          <w:tcPr>
            <w:tcW w:w="3825" w:type="dxa"/>
          </w:tcPr>
          <w:p w14:paraId="3FCB0D3A" w14:textId="3B4471B3" w:rsidR="00C10B1F" w:rsidRPr="00911CB2" w:rsidRDefault="00C10B1F" w:rsidP="00912F6B">
            <w:pPr>
              <w:jc w:val="both"/>
              <w:rPr>
                <w:rFonts w:cstheme="minorHAnsi"/>
                <w:sz w:val="20"/>
                <w:szCs w:val="20"/>
              </w:rPr>
            </w:pPr>
            <w:r w:rsidRPr="00911CB2">
              <w:rPr>
                <w:rFonts w:cstheme="minorHAnsi"/>
                <w:sz w:val="20"/>
                <w:szCs w:val="20"/>
              </w:rPr>
              <w:t xml:space="preserve">Solution must allow users to run ad-hoc queries against information provided by CMS and DHHS and information generated by the </w:t>
            </w:r>
            <w:r w:rsidR="006504D9">
              <w:rPr>
                <w:rFonts w:cstheme="minorHAnsi"/>
                <w:sz w:val="20"/>
                <w:szCs w:val="20"/>
              </w:rPr>
              <w:t>Vendor</w:t>
            </w:r>
            <w:r w:rsidR="006504D9" w:rsidRPr="00911CB2">
              <w:rPr>
                <w:rFonts w:cstheme="minorHAnsi"/>
                <w:sz w:val="20"/>
                <w:szCs w:val="20"/>
              </w:rPr>
              <w:t xml:space="preserve">’s </w:t>
            </w:r>
            <w:r w:rsidRPr="00911CB2">
              <w:rPr>
                <w:rFonts w:cstheme="minorHAnsi"/>
                <w:sz w:val="20"/>
                <w:szCs w:val="20"/>
              </w:rPr>
              <w:t xml:space="preserve">proposed solution used for drug rebate invoicing, dispute management, </w:t>
            </w:r>
            <w:r w:rsidRPr="00911CB2">
              <w:rPr>
                <w:rFonts w:cstheme="minorHAnsi"/>
                <w:sz w:val="20"/>
                <w:szCs w:val="20"/>
              </w:rPr>
              <w:lastRenderedPageBreak/>
              <w:t>and accounting processes.  Users must be able to choose from multiple pre-built defined parameters, singularly or in combination, to generate user-customized results.</w:t>
            </w:r>
          </w:p>
        </w:tc>
        <w:tc>
          <w:tcPr>
            <w:tcW w:w="3825" w:type="dxa"/>
          </w:tcPr>
          <w:p w14:paraId="6BC74D0C" w14:textId="77777777" w:rsidR="00C10B1F" w:rsidRPr="00911CB2" w:rsidRDefault="00C10B1F" w:rsidP="00912F6B">
            <w:pPr>
              <w:jc w:val="both"/>
              <w:rPr>
                <w:rFonts w:cstheme="minorHAnsi"/>
                <w:sz w:val="20"/>
                <w:szCs w:val="20"/>
              </w:rPr>
            </w:pPr>
            <w:r w:rsidRPr="00911CB2">
              <w:rPr>
                <w:rFonts w:cstheme="minorHAnsi"/>
                <w:sz w:val="20"/>
                <w:szCs w:val="20"/>
              </w:rPr>
              <w:lastRenderedPageBreak/>
              <w:t xml:space="preserve">Frequency request is on request – query functionality must be real-time for data maintained within the system used for invoicing, disputes, and accounting. All reports with a standard monthly, quarterly, </w:t>
            </w:r>
            <w:r w:rsidRPr="00911CB2">
              <w:rPr>
                <w:rFonts w:cstheme="minorHAnsi"/>
                <w:sz w:val="20"/>
                <w:szCs w:val="20"/>
              </w:rPr>
              <w:lastRenderedPageBreak/>
              <w:t>and annual frequency must also be available on request based on user-customized time periods.</w:t>
            </w:r>
          </w:p>
        </w:tc>
        <w:tc>
          <w:tcPr>
            <w:tcW w:w="3415" w:type="dxa"/>
          </w:tcPr>
          <w:p w14:paraId="57E3C38A" w14:textId="4BCAA1AA" w:rsidR="00C10B1F" w:rsidRPr="00911CB2" w:rsidRDefault="00BF1A5F" w:rsidP="00912F6B">
            <w:pPr>
              <w:jc w:val="both"/>
              <w:rPr>
                <w:rFonts w:cstheme="minorHAnsi"/>
                <w:sz w:val="20"/>
                <w:szCs w:val="20"/>
              </w:rPr>
            </w:pPr>
            <w:r w:rsidRPr="00911CB2">
              <w:rPr>
                <w:rFonts w:cstheme="minorHAnsi"/>
                <w:sz w:val="20"/>
                <w:szCs w:val="20"/>
              </w:rPr>
              <w:lastRenderedPageBreak/>
              <w:t>DHHS may assess $1,000 per incident per day not in compliance with performance standard</w:t>
            </w:r>
            <w:r w:rsidR="001313FF" w:rsidRPr="00911CB2">
              <w:rPr>
                <w:rFonts w:cstheme="minorHAnsi"/>
                <w:sz w:val="20"/>
                <w:szCs w:val="20"/>
              </w:rPr>
              <w:t>.</w:t>
            </w:r>
          </w:p>
        </w:tc>
      </w:tr>
      <w:tr w:rsidR="00C10B1F" w:rsidRPr="00911CB2" w14:paraId="46EF954B" w14:textId="77777777" w:rsidTr="006C2365">
        <w:trPr>
          <w:trHeight w:val="152"/>
        </w:trPr>
        <w:tc>
          <w:tcPr>
            <w:tcW w:w="1345" w:type="dxa"/>
            <w:vAlign w:val="center"/>
          </w:tcPr>
          <w:p w14:paraId="1588CFE4" w14:textId="77777777" w:rsidR="00C10B1F" w:rsidRPr="00911CB2" w:rsidRDefault="00C10B1F"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3C9C21F0" w14:textId="77777777" w:rsidR="00C10B1F" w:rsidRPr="00911CB2" w:rsidRDefault="00C10B1F" w:rsidP="00912F6B">
            <w:pPr>
              <w:jc w:val="both"/>
              <w:rPr>
                <w:rFonts w:cstheme="minorHAnsi"/>
                <w:sz w:val="20"/>
                <w:szCs w:val="20"/>
              </w:rPr>
            </w:pPr>
            <w:r w:rsidRPr="00911CB2">
              <w:rPr>
                <w:rFonts w:cstheme="minorHAnsi"/>
                <w:sz w:val="20"/>
                <w:szCs w:val="20"/>
              </w:rPr>
              <w:t>IVM-65</w:t>
            </w:r>
          </w:p>
        </w:tc>
        <w:tc>
          <w:tcPr>
            <w:tcW w:w="3825" w:type="dxa"/>
          </w:tcPr>
          <w:p w14:paraId="4CCED24C" w14:textId="23091B72" w:rsidR="00C10B1F" w:rsidRPr="00911CB2" w:rsidRDefault="006504D9" w:rsidP="00912F6B">
            <w:pPr>
              <w:jc w:val="both"/>
              <w:rPr>
                <w:rFonts w:cstheme="minorHAnsi"/>
                <w:sz w:val="20"/>
                <w:szCs w:val="20"/>
              </w:rPr>
            </w:pPr>
            <w:r>
              <w:rPr>
                <w:rFonts w:cstheme="minorHAnsi"/>
                <w:sz w:val="20"/>
                <w:szCs w:val="20"/>
              </w:rPr>
              <w:t>Vendor</w:t>
            </w:r>
            <w:r w:rsidRPr="00911CB2">
              <w:rPr>
                <w:rFonts w:cstheme="minorHAnsi"/>
                <w:sz w:val="20"/>
                <w:szCs w:val="20"/>
              </w:rPr>
              <w:t xml:space="preserve"> </w:t>
            </w:r>
            <w:r w:rsidR="00C10B1F" w:rsidRPr="00911CB2">
              <w:rPr>
                <w:rFonts w:cstheme="minorHAnsi"/>
                <w:sz w:val="20"/>
                <w:szCs w:val="20"/>
              </w:rPr>
              <w:t xml:space="preserve">must provide </w:t>
            </w:r>
            <w:r w:rsidR="00143F5A" w:rsidRPr="00911CB2">
              <w:rPr>
                <w:rFonts w:cstheme="minorHAnsi"/>
                <w:sz w:val="20"/>
                <w:szCs w:val="20"/>
              </w:rPr>
              <w:t>DHHS with</w:t>
            </w:r>
            <w:r w:rsidR="00C10B1F" w:rsidRPr="00911CB2">
              <w:rPr>
                <w:rFonts w:cstheme="minorHAnsi"/>
                <w:sz w:val="20"/>
                <w:szCs w:val="20"/>
              </w:rPr>
              <w:t xml:space="preserve"> a report documenting any deficiencies between the </w:t>
            </w:r>
            <w:r>
              <w:rPr>
                <w:rFonts w:cstheme="minorHAnsi"/>
                <w:sz w:val="20"/>
                <w:szCs w:val="20"/>
              </w:rPr>
              <w:t>vendor</w:t>
            </w:r>
            <w:r w:rsidRPr="00911CB2">
              <w:rPr>
                <w:rFonts w:cstheme="minorHAnsi"/>
                <w:sz w:val="20"/>
                <w:szCs w:val="20"/>
              </w:rPr>
              <w:t xml:space="preserve">’s </w:t>
            </w:r>
            <w:r w:rsidR="00C10B1F" w:rsidRPr="00911CB2">
              <w:rPr>
                <w:rFonts w:cstheme="minorHAnsi"/>
                <w:sz w:val="20"/>
                <w:szCs w:val="20"/>
              </w:rPr>
              <w:t>proposed solution and federal and state rebate standards.</w:t>
            </w:r>
          </w:p>
        </w:tc>
        <w:tc>
          <w:tcPr>
            <w:tcW w:w="3825" w:type="dxa"/>
          </w:tcPr>
          <w:p w14:paraId="35668CD8" w14:textId="2F6EA2C1" w:rsidR="00C10B1F" w:rsidRPr="00911CB2" w:rsidRDefault="00BF1A5F" w:rsidP="00912F6B">
            <w:pPr>
              <w:jc w:val="both"/>
              <w:rPr>
                <w:rFonts w:cstheme="minorHAnsi"/>
                <w:sz w:val="20"/>
                <w:szCs w:val="20"/>
              </w:rPr>
            </w:pPr>
            <w:r w:rsidRPr="00911CB2">
              <w:rPr>
                <w:rFonts w:cstheme="minorHAnsi"/>
                <w:sz w:val="20"/>
                <w:szCs w:val="20"/>
              </w:rPr>
              <w:t xml:space="preserve">Upon vendor discovery of the deficiency, vendor will notify DHHS within </w:t>
            </w:r>
            <w:r w:rsidR="00F73E6B" w:rsidRPr="00911CB2">
              <w:rPr>
                <w:rFonts w:cstheme="minorHAnsi"/>
                <w:sz w:val="20"/>
                <w:szCs w:val="20"/>
              </w:rPr>
              <w:t>14 calendar days.  Vendor will work with DHHS to develop an appropriate remediation resolution as approved by DHHS.</w:t>
            </w:r>
          </w:p>
        </w:tc>
        <w:tc>
          <w:tcPr>
            <w:tcW w:w="3415" w:type="dxa"/>
          </w:tcPr>
          <w:p w14:paraId="3A360F23" w14:textId="4266A4BF" w:rsidR="00C10B1F" w:rsidRPr="00911CB2" w:rsidRDefault="00F73E6B" w:rsidP="00912F6B">
            <w:pPr>
              <w:jc w:val="both"/>
              <w:rPr>
                <w:rFonts w:cstheme="minorHAnsi"/>
                <w:sz w:val="20"/>
                <w:szCs w:val="20"/>
              </w:rPr>
            </w:pPr>
            <w:r w:rsidRPr="00911CB2">
              <w:rPr>
                <w:rFonts w:cstheme="minorHAnsi"/>
                <w:sz w:val="20"/>
                <w:szCs w:val="20"/>
              </w:rPr>
              <w:t>DHHS may assess $2,000 per incident per day not in compliance with performance standard</w:t>
            </w:r>
          </w:p>
        </w:tc>
      </w:tr>
      <w:tr w:rsidR="00B2050D" w:rsidRPr="00911CB2" w14:paraId="3449EC5E" w14:textId="77777777" w:rsidTr="006C2365">
        <w:trPr>
          <w:trHeight w:val="152"/>
        </w:trPr>
        <w:tc>
          <w:tcPr>
            <w:tcW w:w="1345" w:type="dxa"/>
            <w:vAlign w:val="center"/>
          </w:tcPr>
          <w:p w14:paraId="0A3E3427" w14:textId="77777777" w:rsidR="00B2050D" w:rsidRPr="00911CB2" w:rsidRDefault="00B2050D"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0F6374BE" w14:textId="45EC0512" w:rsidR="00B2050D" w:rsidRPr="00911CB2" w:rsidRDefault="00B2050D" w:rsidP="00912F6B">
            <w:pPr>
              <w:jc w:val="both"/>
              <w:rPr>
                <w:rFonts w:cstheme="minorHAnsi"/>
                <w:sz w:val="20"/>
                <w:szCs w:val="20"/>
              </w:rPr>
            </w:pPr>
            <w:r w:rsidRPr="00911CB2">
              <w:rPr>
                <w:rFonts w:cstheme="minorHAnsi"/>
                <w:sz w:val="20"/>
                <w:szCs w:val="20"/>
              </w:rPr>
              <w:t>IVM-69</w:t>
            </w:r>
          </w:p>
        </w:tc>
        <w:tc>
          <w:tcPr>
            <w:tcW w:w="3825" w:type="dxa"/>
          </w:tcPr>
          <w:p w14:paraId="758255D1" w14:textId="7347528D" w:rsidR="00B2050D" w:rsidRPr="00911CB2" w:rsidRDefault="006504D9" w:rsidP="00912F6B">
            <w:pPr>
              <w:jc w:val="both"/>
              <w:rPr>
                <w:rFonts w:cstheme="minorHAnsi"/>
                <w:sz w:val="20"/>
                <w:szCs w:val="20"/>
              </w:rPr>
            </w:pPr>
            <w:r>
              <w:rPr>
                <w:rFonts w:cstheme="minorHAnsi"/>
                <w:sz w:val="20"/>
                <w:szCs w:val="20"/>
              </w:rPr>
              <w:t>Vendor</w:t>
            </w:r>
            <w:r w:rsidR="00B2050D" w:rsidRPr="00911CB2">
              <w:rPr>
                <w:rFonts w:cstheme="minorHAnsi"/>
                <w:sz w:val="20"/>
                <w:szCs w:val="20"/>
              </w:rPr>
              <w:t xml:space="preserve"> must complete all disputes received through each quarterly invoicing cycle in entirety before the initiation of the subsequent invoicing cycle.</w:t>
            </w:r>
          </w:p>
        </w:tc>
        <w:tc>
          <w:tcPr>
            <w:tcW w:w="3825" w:type="dxa"/>
          </w:tcPr>
          <w:p w14:paraId="242326FE" w14:textId="5F4BC65A" w:rsidR="00B2050D" w:rsidRPr="00911CB2" w:rsidRDefault="00877521" w:rsidP="00912F6B">
            <w:pPr>
              <w:jc w:val="both"/>
              <w:rPr>
                <w:rFonts w:cstheme="minorHAnsi"/>
                <w:sz w:val="20"/>
                <w:szCs w:val="20"/>
              </w:rPr>
            </w:pPr>
            <w:r>
              <w:rPr>
                <w:rFonts w:cstheme="minorHAnsi"/>
                <w:sz w:val="20"/>
                <w:szCs w:val="20"/>
              </w:rPr>
              <w:t>Complete a</w:t>
            </w:r>
            <w:r w:rsidR="00B2050D" w:rsidRPr="00911CB2">
              <w:rPr>
                <w:rFonts w:cstheme="minorHAnsi"/>
                <w:sz w:val="20"/>
                <w:szCs w:val="20"/>
              </w:rPr>
              <w:t>ll disputes received through each quarterly invoicing cycle in entirety before the initiation of the subsequent invoicing cycle.</w:t>
            </w:r>
          </w:p>
        </w:tc>
        <w:tc>
          <w:tcPr>
            <w:tcW w:w="3415" w:type="dxa"/>
          </w:tcPr>
          <w:p w14:paraId="739B9FAF" w14:textId="66003242" w:rsidR="00B2050D" w:rsidRPr="00911CB2" w:rsidRDefault="00B2050D" w:rsidP="00912F6B">
            <w:pPr>
              <w:jc w:val="both"/>
              <w:rPr>
                <w:rFonts w:cstheme="minorHAnsi"/>
                <w:sz w:val="20"/>
                <w:szCs w:val="20"/>
              </w:rPr>
            </w:pPr>
            <w:r w:rsidRPr="00911CB2">
              <w:rPr>
                <w:rFonts w:cstheme="minorHAnsi"/>
                <w:sz w:val="20"/>
                <w:szCs w:val="20"/>
              </w:rPr>
              <w:t xml:space="preserve">DHHS may assess $1,000 per day when the performance fails to meet the performance standard.  </w:t>
            </w:r>
          </w:p>
        </w:tc>
      </w:tr>
      <w:tr w:rsidR="009862E9" w:rsidRPr="00911CB2" w14:paraId="568208BC" w14:textId="77777777" w:rsidTr="006C2365">
        <w:trPr>
          <w:trHeight w:val="152"/>
        </w:trPr>
        <w:tc>
          <w:tcPr>
            <w:tcW w:w="1345" w:type="dxa"/>
            <w:vAlign w:val="center"/>
          </w:tcPr>
          <w:p w14:paraId="5DD5F88A" w14:textId="77777777" w:rsidR="009862E9" w:rsidRPr="00911CB2" w:rsidRDefault="009862E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7BAA50E7" w14:textId="46B9AAE5" w:rsidR="009862E9" w:rsidRPr="00911CB2" w:rsidRDefault="009862E9" w:rsidP="00912F6B">
            <w:pPr>
              <w:jc w:val="both"/>
              <w:rPr>
                <w:rFonts w:cstheme="minorHAnsi"/>
                <w:sz w:val="20"/>
                <w:szCs w:val="20"/>
              </w:rPr>
            </w:pPr>
            <w:r w:rsidRPr="00911CB2">
              <w:rPr>
                <w:rFonts w:cstheme="minorHAnsi"/>
                <w:sz w:val="20"/>
                <w:szCs w:val="20"/>
              </w:rPr>
              <w:t>ACC-</w:t>
            </w:r>
            <w:r w:rsidR="00B3118A" w:rsidRPr="00911CB2">
              <w:rPr>
                <w:rFonts w:cstheme="minorHAnsi"/>
                <w:sz w:val="20"/>
                <w:szCs w:val="20"/>
              </w:rPr>
              <w:t>0</w:t>
            </w:r>
            <w:r w:rsidRPr="00911CB2">
              <w:rPr>
                <w:rFonts w:cstheme="minorHAnsi"/>
                <w:sz w:val="20"/>
                <w:szCs w:val="20"/>
              </w:rPr>
              <w:t>1</w:t>
            </w:r>
          </w:p>
        </w:tc>
        <w:tc>
          <w:tcPr>
            <w:tcW w:w="3825" w:type="dxa"/>
          </w:tcPr>
          <w:p w14:paraId="74ACA1EB" w14:textId="6F2FD42F" w:rsidR="009862E9" w:rsidRPr="00911CB2" w:rsidRDefault="009862E9" w:rsidP="00912F6B">
            <w:pPr>
              <w:jc w:val="both"/>
              <w:rPr>
                <w:rFonts w:cstheme="minorHAnsi"/>
                <w:sz w:val="20"/>
                <w:szCs w:val="20"/>
              </w:rPr>
            </w:pPr>
            <w:r w:rsidRPr="00911CB2">
              <w:rPr>
                <w:rFonts w:cstheme="minorHAnsi"/>
                <w:sz w:val="20"/>
                <w:szCs w:val="20"/>
              </w:rPr>
              <w:t>Solution must capture, or convert electronically, the prior quarter adjustment statement (PQAS) and reconciliation of state invoices (ROSIs), perform</w:t>
            </w:r>
            <w:r w:rsidR="00DB0622" w:rsidRPr="00911CB2">
              <w:rPr>
                <w:rFonts w:cstheme="minorHAnsi"/>
                <w:sz w:val="20"/>
                <w:szCs w:val="20"/>
              </w:rPr>
              <w:t xml:space="preserve"> </w:t>
            </w:r>
            <w:r w:rsidR="00143F5A" w:rsidRPr="00911CB2">
              <w:rPr>
                <w:rFonts w:cstheme="minorHAnsi"/>
                <w:sz w:val="20"/>
                <w:szCs w:val="20"/>
              </w:rPr>
              <w:t>line-item</w:t>
            </w:r>
            <w:r w:rsidRPr="00911CB2">
              <w:rPr>
                <w:rFonts w:cstheme="minorHAnsi"/>
                <w:sz w:val="20"/>
                <w:szCs w:val="20"/>
              </w:rPr>
              <w:t xml:space="preserve"> match by drug, link to the invoice and identify disputes when payments are received.</w:t>
            </w:r>
          </w:p>
        </w:tc>
        <w:tc>
          <w:tcPr>
            <w:tcW w:w="3825" w:type="dxa"/>
          </w:tcPr>
          <w:p w14:paraId="1DCCA1C5" w14:textId="257E5B87" w:rsidR="009862E9" w:rsidRPr="00911CB2" w:rsidRDefault="00DB0622" w:rsidP="00912F6B">
            <w:pPr>
              <w:jc w:val="both"/>
              <w:rPr>
                <w:rFonts w:cstheme="minorHAnsi"/>
                <w:sz w:val="20"/>
                <w:szCs w:val="20"/>
              </w:rPr>
            </w:pPr>
            <w:r w:rsidRPr="00911CB2">
              <w:rPr>
                <w:rFonts w:cstheme="minorHAnsi"/>
                <w:sz w:val="20"/>
                <w:szCs w:val="20"/>
              </w:rPr>
              <w:t xml:space="preserve">Within </w:t>
            </w:r>
            <w:r w:rsidR="00DB70BB" w:rsidRPr="00911CB2">
              <w:rPr>
                <w:rFonts w:cstheme="minorHAnsi"/>
                <w:sz w:val="20"/>
                <w:szCs w:val="20"/>
              </w:rPr>
              <w:t>three (</w:t>
            </w:r>
            <w:r w:rsidRPr="00911CB2">
              <w:rPr>
                <w:rFonts w:cstheme="minorHAnsi"/>
                <w:sz w:val="20"/>
                <w:szCs w:val="20"/>
              </w:rPr>
              <w:t>3</w:t>
            </w:r>
            <w:r w:rsidR="00DB70BB" w:rsidRPr="00911CB2">
              <w:rPr>
                <w:rFonts w:cstheme="minorHAnsi"/>
                <w:sz w:val="20"/>
                <w:szCs w:val="20"/>
              </w:rPr>
              <w:t>)</w:t>
            </w:r>
            <w:r w:rsidRPr="00911CB2">
              <w:rPr>
                <w:rFonts w:cstheme="minorHAnsi"/>
                <w:sz w:val="20"/>
                <w:szCs w:val="20"/>
              </w:rPr>
              <w:t xml:space="preserve"> business days of when payments are received</w:t>
            </w:r>
            <w:r w:rsidR="00DB70BB" w:rsidRPr="00911CB2">
              <w:rPr>
                <w:rFonts w:cstheme="minorHAnsi"/>
                <w:sz w:val="20"/>
                <w:szCs w:val="20"/>
              </w:rPr>
              <w:t>.</w:t>
            </w:r>
          </w:p>
        </w:tc>
        <w:tc>
          <w:tcPr>
            <w:tcW w:w="3415" w:type="dxa"/>
          </w:tcPr>
          <w:p w14:paraId="4E66BD89" w14:textId="79418FA4" w:rsidR="009862E9" w:rsidRPr="00911CB2" w:rsidRDefault="00DB70BB" w:rsidP="00912F6B">
            <w:pPr>
              <w:jc w:val="both"/>
              <w:rPr>
                <w:rFonts w:cstheme="minorHAnsi"/>
                <w:sz w:val="20"/>
                <w:szCs w:val="20"/>
              </w:rPr>
            </w:pPr>
            <w:r w:rsidRPr="00911CB2">
              <w:rPr>
                <w:rFonts w:cstheme="minorHAnsi"/>
                <w:sz w:val="20"/>
                <w:szCs w:val="20"/>
              </w:rPr>
              <w:t>DHHS may assess $</w:t>
            </w:r>
            <w:r w:rsidR="00F94B95" w:rsidRPr="00911CB2">
              <w:rPr>
                <w:rFonts w:cstheme="minorHAnsi"/>
                <w:sz w:val="20"/>
                <w:szCs w:val="20"/>
              </w:rPr>
              <w:t>5,000</w:t>
            </w:r>
            <w:r w:rsidRPr="00911CB2">
              <w:rPr>
                <w:rFonts w:cstheme="minorHAnsi"/>
                <w:sz w:val="20"/>
                <w:szCs w:val="20"/>
              </w:rPr>
              <w:t xml:space="preserve"> per incident per day not in compliance with performance standard.</w:t>
            </w:r>
          </w:p>
        </w:tc>
      </w:tr>
      <w:tr w:rsidR="006F5809" w:rsidRPr="00911CB2" w14:paraId="5EBBB9DC" w14:textId="77777777" w:rsidTr="006C2365">
        <w:trPr>
          <w:trHeight w:val="152"/>
        </w:trPr>
        <w:tc>
          <w:tcPr>
            <w:tcW w:w="1345" w:type="dxa"/>
            <w:vAlign w:val="center"/>
          </w:tcPr>
          <w:p w14:paraId="3B113F45" w14:textId="77777777" w:rsidR="006F5809" w:rsidRPr="00911CB2" w:rsidRDefault="006F580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199DA209" w14:textId="4CA08D9E" w:rsidR="006F5809" w:rsidRPr="00911CB2" w:rsidRDefault="006F5809" w:rsidP="00912F6B">
            <w:pPr>
              <w:jc w:val="both"/>
              <w:rPr>
                <w:rFonts w:cstheme="minorHAnsi"/>
                <w:sz w:val="20"/>
                <w:szCs w:val="20"/>
              </w:rPr>
            </w:pPr>
            <w:r w:rsidRPr="00911CB2">
              <w:rPr>
                <w:rFonts w:cstheme="minorHAnsi"/>
                <w:sz w:val="20"/>
                <w:szCs w:val="20"/>
              </w:rPr>
              <w:t>ACC-</w:t>
            </w:r>
            <w:r w:rsidR="00B3118A" w:rsidRPr="00911CB2">
              <w:rPr>
                <w:rFonts w:cstheme="minorHAnsi"/>
                <w:sz w:val="20"/>
                <w:szCs w:val="20"/>
              </w:rPr>
              <w:t>0</w:t>
            </w:r>
            <w:r w:rsidRPr="00911CB2">
              <w:rPr>
                <w:rFonts w:cstheme="minorHAnsi"/>
                <w:sz w:val="20"/>
                <w:szCs w:val="20"/>
              </w:rPr>
              <w:t>6</w:t>
            </w:r>
          </w:p>
        </w:tc>
        <w:tc>
          <w:tcPr>
            <w:tcW w:w="3825" w:type="dxa"/>
          </w:tcPr>
          <w:p w14:paraId="1FB511F6" w14:textId="3A4E4E09" w:rsidR="006F5809" w:rsidRPr="00911CB2" w:rsidRDefault="006F5809" w:rsidP="00912F6B">
            <w:pPr>
              <w:jc w:val="both"/>
              <w:rPr>
                <w:rFonts w:cstheme="minorHAnsi"/>
                <w:sz w:val="20"/>
                <w:szCs w:val="20"/>
              </w:rPr>
            </w:pPr>
            <w:r w:rsidRPr="00911CB2">
              <w:rPr>
                <w:rFonts w:cstheme="minorHAnsi"/>
                <w:sz w:val="20"/>
                <w:szCs w:val="20"/>
              </w:rPr>
              <w:t>Solution must systematically establish Accounts Receivables at the Manufacturer or Labeler level for drug manufacturers invoiced for each drug rebate invoice generated by the system.</w:t>
            </w:r>
          </w:p>
        </w:tc>
        <w:tc>
          <w:tcPr>
            <w:tcW w:w="3825" w:type="dxa"/>
          </w:tcPr>
          <w:p w14:paraId="007EC052" w14:textId="42FE4D43" w:rsidR="006F5809" w:rsidRPr="00911CB2" w:rsidRDefault="006F5809" w:rsidP="00912F6B">
            <w:pPr>
              <w:jc w:val="both"/>
              <w:rPr>
                <w:rFonts w:cstheme="minorHAnsi"/>
                <w:sz w:val="20"/>
                <w:szCs w:val="20"/>
              </w:rPr>
            </w:pPr>
            <w:r w:rsidRPr="00911CB2">
              <w:rPr>
                <w:rFonts w:cstheme="minorHAnsi"/>
                <w:sz w:val="20"/>
                <w:szCs w:val="20"/>
              </w:rPr>
              <w:t xml:space="preserve">Within one (1) business day upon completion of the quarterly </w:t>
            </w:r>
            <w:r w:rsidR="00143F5A" w:rsidRPr="00911CB2">
              <w:rPr>
                <w:rFonts w:cstheme="minorHAnsi"/>
                <w:sz w:val="20"/>
                <w:szCs w:val="20"/>
              </w:rPr>
              <w:t>invoice</w:t>
            </w:r>
            <w:r w:rsidRPr="00911CB2">
              <w:rPr>
                <w:rFonts w:cstheme="minorHAnsi"/>
                <w:sz w:val="20"/>
                <w:szCs w:val="20"/>
              </w:rPr>
              <w:t xml:space="preserve"> cycle.</w:t>
            </w:r>
          </w:p>
        </w:tc>
        <w:tc>
          <w:tcPr>
            <w:tcW w:w="3415" w:type="dxa"/>
          </w:tcPr>
          <w:p w14:paraId="19A4B4E0" w14:textId="30E6CE32" w:rsidR="006F5809" w:rsidRPr="00911CB2" w:rsidRDefault="006F5809" w:rsidP="00912F6B">
            <w:pPr>
              <w:jc w:val="both"/>
              <w:rPr>
                <w:rFonts w:cstheme="minorHAnsi"/>
                <w:sz w:val="20"/>
                <w:szCs w:val="20"/>
              </w:rPr>
            </w:pPr>
            <w:r w:rsidRPr="00911CB2">
              <w:rPr>
                <w:rFonts w:cstheme="minorHAnsi"/>
                <w:sz w:val="20"/>
                <w:szCs w:val="20"/>
              </w:rPr>
              <w:t>DHHS may assess $5,000 per incident per day not in compliance with performance standard.</w:t>
            </w:r>
          </w:p>
        </w:tc>
      </w:tr>
      <w:tr w:rsidR="006F5809" w:rsidRPr="00911CB2" w14:paraId="429C27B5" w14:textId="77777777" w:rsidTr="006C2365">
        <w:trPr>
          <w:trHeight w:val="152"/>
        </w:trPr>
        <w:tc>
          <w:tcPr>
            <w:tcW w:w="1345" w:type="dxa"/>
            <w:vAlign w:val="center"/>
          </w:tcPr>
          <w:p w14:paraId="1932A847" w14:textId="77777777" w:rsidR="006F5809" w:rsidRPr="00911CB2" w:rsidRDefault="006F580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0601F9A4" w14:textId="4A1A54A8" w:rsidR="00B3118A" w:rsidRPr="00911CB2" w:rsidRDefault="00B3118A" w:rsidP="00912F6B">
            <w:pPr>
              <w:jc w:val="both"/>
              <w:rPr>
                <w:rFonts w:cstheme="minorHAnsi"/>
                <w:sz w:val="20"/>
                <w:szCs w:val="20"/>
              </w:rPr>
            </w:pPr>
            <w:r w:rsidRPr="00911CB2">
              <w:rPr>
                <w:rFonts w:cstheme="minorHAnsi"/>
                <w:sz w:val="20"/>
                <w:szCs w:val="20"/>
              </w:rPr>
              <w:t>ACC-07</w:t>
            </w:r>
          </w:p>
          <w:p w14:paraId="52D79C39" w14:textId="4B3CEE01" w:rsidR="006F5809" w:rsidRPr="00911CB2" w:rsidRDefault="006F5809" w:rsidP="00912F6B">
            <w:pPr>
              <w:jc w:val="both"/>
              <w:rPr>
                <w:rFonts w:cstheme="minorHAnsi"/>
                <w:sz w:val="20"/>
                <w:szCs w:val="20"/>
              </w:rPr>
            </w:pPr>
          </w:p>
        </w:tc>
        <w:tc>
          <w:tcPr>
            <w:tcW w:w="3825" w:type="dxa"/>
          </w:tcPr>
          <w:p w14:paraId="0CA352E9" w14:textId="7FD5BDFA" w:rsidR="006F5809" w:rsidRPr="00911CB2" w:rsidRDefault="000A6DDD" w:rsidP="00912F6B">
            <w:pPr>
              <w:jc w:val="both"/>
              <w:rPr>
                <w:rFonts w:cstheme="minorHAnsi"/>
                <w:sz w:val="20"/>
                <w:szCs w:val="20"/>
              </w:rPr>
            </w:pPr>
            <w:r w:rsidRPr="00911CB2">
              <w:rPr>
                <w:rFonts w:cstheme="minorHAnsi"/>
                <w:sz w:val="20"/>
                <w:szCs w:val="20"/>
              </w:rPr>
              <w:t xml:space="preserve"> Solution must provide quarterly drug rebate reconciliation according to DHHS defined criteria.  </w:t>
            </w:r>
          </w:p>
          <w:p w14:paraId="476E73E0" w14:textId="29D74760" w:rsidR="00B3118A" w:rsidRPr="00911CB2" w:rsidRDefault="00B3118A" w:rsidP="00912F6B">
            <w:pPr>
              <w:jc w:val="both"/>
              <w:rPr>
                <w:rFonts w:cstheme="minorHAnsi"/>
                <w:sz w:val="20"/>
                <w:szCs w:val="20"/>
              </w:rPr>
            </w:pPr>
            <w:r w:rsidRPr="00911CB2">
              <w:rPr>
                <w:rFonts w:cstheme="minorHAnsi"/>
                <w:sz w:val="20"/>
                <w:szCs w:val="20"/>
              </w:rPr>
              <w:t xml:space="preserve">The solution will write a quarterly report at the end of each invoicing cycle comparing both FFS and MCO encounter claims that were received from the state input source(s) for invoicing.  It will use the DHHS-defined business rules for which claims </w:t>
            </w:r>
            <w:r w:rsidR="00143F5A" w:rsidRPr="00911CB2">
              <w:rPr>
                <w:rFonts w:cstheme="minorHAnsi"/>
                <w:sz w:val="20"/>
                <w:szCs w:val="20"/>
              </w:rPr>
              <w:t>meet</w:t>
            </w:r>
            <w:r w:rsidRPr="00911CB2">
              <w:rPr>
                <w:rFonts w:cstheme="minorHAnsi"/>
                <w:sz w:val="20"/>
                <w:szCs w:val="20"/>
              </w:rPr>
              <w:t xml:space="preserve"> criteria for invoicing.  The solution will identify claims which were flagged as meeting criteria for invoicing but not included </w:t>
            </w:r>
            <w:r w:rsidR="00143F5A" w:rsidRPr="00911CB2">
              <w:rPr>
                <w:rFonts w:cstheme="minorHAnsi"/>
                <w:sz w:val="20"/>
                <w:szCs w:val="20"/>
              </w:rPr>
              <w:t>in the</w:t>
            </w:r>
            <w:r w:rsidRPr="00911CB2">
              <w:rPr>
                <w:rFonts w:cstheme="minorHAnsi"/>
                <w:sz w:val="20"/>
                <w:szCs w:val="20"/>
              </w:rPr>
              <w:t xml:space="preserve"> rebating process </w:t>
            </w:r>
            <w:proofErr w:type="gramStart"/>
            <w:r w:rsidRPr="00911CB2">
              <w:rPr>
                <w:rFonts w:cstheme="minorHAnsi"/>
                <w:sz w:val="20"/>
                <w:szCs w:val="20"/>
              </w:rPr>
              <w:t>and also</w:t>
            </w:r>
            <w:proofErr w:type="gramEnd"/>
            <w:r w:rsidRPr="00911CB2">
              <w:rPr>
                <w:rFonts w:cstheme="minorHAnsi"/>
                <w:sz w:val="20"/>
                <w:szCs w:val="20"/>
              </w:rPr>
              <w:t xml:space="preserve"> include identif</w:t>
            </w:r>
            <w:r w:rsidR="00877521">
              <w:rPr>
                <w:rFonts w:cstheme="minorHAnsi"/>
                <w:sz w:val="20"/>
                <w:szCs w:val="20"/>
              </w:rPr>
              <w:t xml:space="preserve">ied </w:t>
            </w:r>
            <w:r w:rsidRPr="00911CB2">
              <w:rPr>
                <w:rFonts w:cstheme="minorHAnsi"/>
                <w:sz w:val="20"/>
                <w:szCs w:val="20"/>
              </w:rPr>
              <w:t xml:space="preserve">claims which were flagged as not meeting </w:t>
            </w:r>
            <w:r w:rsidRPr="00911CB2">
              <w:rPr>
                <w:rFonts w:cstheme="minorHAnsi"/>
                <w:sz w:val="20"/>
                <w:szCs w:val="20"/>
              </w:rPr>
              <w:lastRenderedPageBreak/>
              <w:t xml:space="preserve">criteria for invoicing but should have been invoiced.  The report will be available to DHHS within thirty (30) calendar days after the end of each </w:t>
            </w:r>
            <w:proofErr w:type="gramStart"/>
            <w:r w:rsidRPr="00911CB2">
              <w:rPr>
                <w:rFonts w:cstheme="minorHAnsi"/>
                <w:sz w:val="20"/>
                <w:szCs w:val="20"/>
              </w:rPr>
              <w:t>invoicing</w:t>
            </w:r>
            <w:proofErr w:type="gramEnd"/>
            <w:r w:rsidRPr="00911CB2">
              <w:rPr>
                <w:rFonts w:cstheme="minorHAnsi"/>
                <w:sz w:val="20"/>
                <w:szCs w:val="20"/>
              </w:rPr>
              <w:t xml:space="preserve"> quarter.</w:t>
            </w:r>
          </w:p>
        </w:tc>
        <w:tc>
          <w:tcPr>
            <w:tcW w:w="3825" w:type="dxa"/>
          </w:tcPr>
          <w:p w14:paraId="7360282C" w14:textId="2F8EDD08" w:rsidR="006F5809" w:rsidRPr="00911CB2" w:rsidRDefault="000A6DDD" w:rsidP="00912F6B">
            <w:pPr>
              <w:jc w:val="both"/>
              <w:rPr>
                <w:rFonts w:cstheme="minorHAnsi"/>
                <w:sz w:val="20"/>
                <w:szCs w:val="20"/>
              </w:rPr>
            </w:pPr>
            <w:r w:rsidRPr="00911CB2">
              <w:rPr>
                <w:rFonts w:cstheme="minorHAnsi"/>
                <w:sz w:val="20"/>
                <w:szCs w:val="20"/>
              </w:rPr>
              <w:lastRenderedPageBreak/>
              <w:t xml:space="preserve">  The report will be available to DHHS within</w:t>
            </w:r>
            <w:r w:rsidR="00B3118A" w:rsidRPr="00911CB2">
              <w:rPr>
                <w:rFonts w:cstheme="minorHAnsi"/>
                <w:sz w:val="20"/>
                <w:szCs w:val="20"/>
              </w:rPr>
              <w:t xml:space="preserve"> thirty</w:t>
            </w:r>
            <w:r w:rsidRPr="00911CB2">
              <w:rPr>
                <w:rFonts w:cstheme="minorHAnsi"/>
                <w:sz w:val="20"/>
                <w:szCs w:val="20"/>
              </w:rPr>
              <w:t xml:space="preserve"> </w:t>
            </w:r>
            <w:r w:rsidR="00B3118A" w:rsidRPr="00911CB2">
              <w:rPr>
                <w:rFonts w:cstheme="minorHAnsi"/>
                <w:sz w:val="20"/>
                <w:szCs w:val="20"/>
              </w:rPr>
              <w:t>(</w:t>
            </w:r>
            <w:r w:rsidRPr="00911CB2">
              <w:rPr>
                <w:rFonts w:cstheme="minorHAnsi"/>
                <w:sz w:val="20"/>
                <w:szCs w:val="20"/>
              </w:rPr>
              <w:t>30</w:t>
            </w:r>
            <w:r w:rsidR="00B3118A" w:rsidRPr="00911CB2">
              <w:rPr>
                <w:rFonts w:cstheme="minorHAnsi"/>
                <w:sz w:val="20"/>
                <w:szCs w:val="20"/>
              </w:rPr>
              <w:t>)</w:t>
            </w:r>
            <w:r w:rsidRPr="00911CB2">
              <w:rPr>
                <w:rFonts w:cstheme="minorHAnsi"/>
                <w:sz w:val="20"/>
                <w:szCs w:val="20"/>
              </w:rPr>
              <w:t xml:space="preserve"> calendar days after the end of each </w:t>
            </w:r>
            <w:proofErr w:type="gramStart"/>
            <w:r w:rsidRPr="00911CB2">
              <w:rPr>
                <w:rFonts w:cstheme="minorHAnsi"/>
                <w:sz w:val="20"/>
                <w:szCs w:val="20"/>
              </w:rPr>
              <w:t>invoicing</w:t>
            </w:r>
            <w:proofErr w:type="gramEnd"/>
            <w:r w:rsidRPr="00911CB2">
              <w:rPr>
                <w:rFonts w:cstheme="minorHAnsi"/>
                <w:sz w:val="20"/>
                <w:szCs w:val="20"/>
              </w:rPr>
              <w:t xml:space="preserve"> quarter.</w:t>
            </w:r>
          </w:p>
        </w:tc>
        <w:tc>
          <w:tcPr>
            <w:tcW w:w="3415" w:type="dxa"/>
          </w:tcPr>
          <w:p w14:paraId="4AF20AFB" w14:textId="16C24DF5" w:rsidR="006F5809" w:rsidRPr="00911CB2" w:rsidRDefault="000A6DDD" w:rsidP="00912F6B">
            <w:pPr>
              <w:jc w:val="both"/>
              <w:rPr>
                <w:rFonts w:cstheme="minorHAnsi"/>
                <w:sz w:val="20"/>
                <w:szCs w:val="20"/>
              </w:rPr>
            </w:pPr>
            <w:r w:rsidRPr="00911CB2">
              <w:rPr>
                <w:rFonts w:cstheme="minorHAnsi"/>
                <w:sz w:val="20"/>
                <w:szCs w:val="20"/>
              </w:rPr>
              <w:t xml:space="preserve">  DHHS may assess $1000 per incident per day not in compliance with performance standard.</w:t>
            </w:r>
          </w:p>
        </w:tc>
      </w:tr>
      <w:tr w:rsidR="006F5809" w:rsidRPr="00911CB2" w14:paraId="2E297CA8" w14:textId="77777777" w:rsidTr="006C2365">
        <w:trPr>
          <w:trHeight w:val="152"/>
        </w:trPr>
        <w:tc>
          <w:tcPr>
            <w:tcW w:w="1345" w:type="dxa"/>
            <w:vAlign w:val="center"/>
          </w:tcPr>
          <w:p w14:paraId="28D7AD15" w14:textId="77777777" w:rsidR="006F5809" w:rsidRPr="00911CB2" w:rsidRDefault="006F580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03DEFFE6" w14:textId="399DCCD3" w:rsidR="006F5809" w:rsidRPr="00911CB2" w:rsidRDefault="006F5809" w:rsidP="00912F6B">
            <w:pPr>
              <w:jc w:val="both"/>
              <w:rPr>
                <w:rFonts w:cstheme="minorHAnsi"/>
                <w:sz w:val="20"/>
                <w:szCs w:val="20"/>
              </w:rPr>
            </w:pPr>
            <w:r w:rsidRPr="00911CB2">
              <w:rPr>
                <w:rFonts w:cstheme="minorHAnsi"/>
                <w:sz w:val="20"/>
                <w:szCs w:val="20"/>
              </w:rPr>
              <w:t>ACC-1</w:t>
            </w:r>
            <w:r w:rsidR="00FC29E3" w:rsidRPr="00911CB2">
              <w:rPr>
                <w:rFonts w:cstheme="minorHAnsi"/>
                <w:sz w:val="20"/>
                <w:szCs w:val="20"/>
              </w:rPr>
              <w:t>1</w:t>
            </w:r>
          </w:p>
        </w:tc>
        <w:tc>
          <w:tcPr>
            <w:tcW w:w="3825" w:type="dxa"/>
          </w:tcPr>
          <w:p w14:paraId="7517C941" w14:textId="75C78F8B" w:rsidR="006F5809" w:rsidRPr="00911CB2" w:rsidRDefault="006F5809" w:rsidP="00912F6B">
            <w:pPr>
              <w:jc w:val="both"/>
              <w:rPr>
                <w:rFonts w:cstheme="minorHAnsi"/>
                <w:sz w:val="20"/>
                <w:szCs w:val="20"/>
              </w:rPr>
            </w:pPr>
            <w:r w:rsidRPr="00911CB2">
              <w:rPr>
                <w:rFonts w:cstheme="minorHAnsi"/>
                <w:sz w:val="20"/>
                <w:szCs w:val="20"/>
              </w:rPr>
              <w:t xml:space="preserve">Solution must maintain, display, and report an audit trail of all changes made to invoices and identify invoice records that have been changed to facilitate future processing. The audit </w:t>
            </w:r>
            <w:proofErr w:type="gramStart"/>
            <w:r w:rsidRPr="00911CB2">
              <w:rPr>
                <w:rFonts w:cstheme="minorHAnsi"/>
                <w:sz w:val="20"/>
                <w:szCs w:val="20"/>
              </w:rPr>
              <w:t>trail</w:t>
            </w:r>
            <w:proofErr w:type="gramEnd"/>
            <w:r w:rsidRPr="00911CB2">
              <w:rPr>
                <w:rFonts w:cstheme="minorHAnsi"/>
                <w:sz w:val="20"/>
                <w:szCs w:val="20"/>
              </w:rPr>
              <w:t xml:space="preserve"> must minimally include invoice </w:t>
            </w:r>
            <w:r w:rsidR="00143F5A" w:rsidRPr="00911CB2">
              <w:rPr>
                <w:rFonts w:cstheme="minorHAnsi"/>
                <w:sz w:val="20"/>
                <w:szCs w:val="20"/>
              </w:rPr>
              <w:t>details</w:t>
            </w:r>
            <w:r w:rsidRPr="00911CB2">
              <w:rPr>
                <w:rFonts w:cstheme="minorHAnsi"/>
                <w:sz w:val="20"/>
                <w:szCs w:val="20"/>
              </w:rPr>
              <w:t xml:space="preserve"> before and after the change, date of change, reason for change, and source of change. The audit trail must be accessible to DHHS staff online and in a report format.</w:t>
            </w:r>
          </w:p>
        </w:tc>
        <w:tc>
          <w:tcPr>
            <w:tcW w:w="3825" w:type="dxa"/>
          </w:tcPr>
          <w:p w14:paraId="2C90BF85" w14:textId="03DABFFC" w:rsidR="006F5809" w:rsidRPr="00911CB2" w:rsidRDefault="00CD4F21" w:rsidP="00912F6B">
            <w:pPr>
              <w:jc w:val="both"/>
              <w:rPr>
                <w:rFonts w:cstheme="minorHAnsi"/>
                <w:sz w:val="20"/>
                <w:szCs w:val="20"/>
              </w:rPr>
            </w:pPr>
            <w:r w:rsidRPr="00911CB2">
              <w:rPr>
                <w:rFonts w:cstheme="minorHAnsi"/>
                <w:sz w:val="20"/>
                <w:szCs w:val="20"/>
              </w:rPr>
              <w:t>Available w</w:t>
            </w:r>
            <w:r w:rsidR="006F5809" w:rsidRPr="00911CB2">
              <w:rPr>
                <w:rFonts w:cstheme="minorHAnsi"/>
                <w:sz w:val="20"/>
                <w:szCs w:val="20"/>
              </w:rPr>
              <w:t>ithin one (1) business following the end of a calendar month.</w:t>
            </w:r>
          </w:p>
        </w:tc>
        <w:tc>
          <w:tcPr>
            <w:tcW w:w="3415" w:type="dxa"/>
          </w:tcPr>
          <w:p w14:paraId="4810235D" w14:textId="7A64489B" w:rsidR="006F5809" w:rsidRPr="00911CB2" w:rsidRDefault="006F5809" w:rsidP="00912F6B">
            <w:pPr>
              <w:jc w:val="both"/>
              <w:rPr>
                <w:rFonts w:cstheme="minorHAnsi"/>
                <w:sz w:val="20"/>
                <w:szCs w:val="20"/>
              </w:rPr>
            </w:pPr>
            <w:r w:rsidRPr="00911CB2">
              <w:rPr>
                <w:rFonts w:cstheme="minorHAnsi"/>
                <w:sz w:val="20"/>
                <w:szCs w:val="20"/>
              </w:rPr>
              <w:t>DHHS may assess $1,000 per incident per day not in compliance with performance standard.</w:t>
            </w:r>
          </w:p>
        </w:tc>
      </w:tr>
      <w:tr w:rsidR="006F5809" w:rsidRPr="00911CB2" w14:paraId="170CE50B" w14:textId="77777777" w:rsidTr="006C2365">
        <w:trPr>
          <w:trHeight w:val="152"/>
        </w:trPr>
        <w:tc>
          <w:tcPr>
            <w:tcW w:w="1345" w:type="dxa"/>
            <w:vAlign w:val="center"/>
          </w:tcPr>
          <w:p w14:paraId="0CDE0F09" w14:textId="77777777" w:rsidR="006F5809" w:rsidRPr="00911CB2" w:rsidRDefault="006F580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3DF38BCF" w14:textId="33A0E6DD" w:rsidR="006F5809" w:rsidRPr="00911CB2" w:rsidRDefault="006F5809" w:rsidP="00912F6B">
            <w:pPr>
              <w:jc w:val="both"/>
              <w:rPr>
                <w:rFonts w:cstheme="minorHAnsi"/>
                <w:sz w:val="20"/>
                <w:szCs w:val="20"/>
              </w:rPr>
            </w:pPr>
            <w:r w:rsidRPr="00911CB2">
              <w:rPr>
                <w:rFonts w:cstheme="minorHAnsi"/>
                <w:sz w:val="20"/>
                <w:szCs w:val="20"/>
              </w:rPr>
              <w:t>SAR-3</w:t>
            </w:r>
          </w:p>
        </w:tc>
        <w:tc>
          <w:tcPr>
            <w:tcW w:w="3825" w:type="dxa"/>
          </w:tcPr>
          <w:p w14:paraId="44BA5C36" w14:textId="74666E82" w:rsidR="006F5809" w:rsidRPr="00911CB2" w:rsidRDefault="00EA2AA0" w:rsidP="00912F6B">
            <w:pPr>
              <w:jc w:val="both"/>
              <w:rPr>
                <w:rFonts w:cstheme="minorHAnsi"/>
                <w:sz w:val="20"/>
                <w:szCs w:val="20"/>
              </w:rPr>
            </w:pPr>
            <w:r>
              <w:rPr>
                <w:rFonts w:cstheme="minorHAnsi"/>
                <w:sz w:val="20"/>
                <w:szCs w:val="20"/>
              </w:rPr>
              <w:t>Vendor</w:t>
            </w:r>
            <w:r w:rsidRPr="00911CB2">
              <w:rPr>
                <w:rFonts w:cstheme="minorHAnsi"/>
                <w:sz w:val="20"/>
                <w:szCs w:val="20"/>
              </w:rPr>
              <w:t xml:space="preserve"> </w:t>
            </w:r>
            <w:r w:rsidR="006F5809" w:rsidRPr="00911CB2">
              <w:rPr>
                <w:rFonts w:cstheme="minorHAnsi"/>
                <w:sz w:val="20"/>
                <w:szCs w:val="20"/>
              </w:rPr>
              <w:t>must provide operational staff to support the following functions:</w:t>
            </w:r>
          </w:p>
          <w:p w14:paraId="3EE355FC" w14:textId="7469FB73" w:rsidR="006F5809" w:rsidRPr="00911CB2" w:rsidRDefault="006F5809" w:rsidP="00912F6B">
            <w:pPr>
              <w:numPr>
                <w:ilvl w:val="0"/>
                <w:numId w:val="35"/>
              </w:numPr>
              <w:jc w:val="both"/>
              <w:rPr>
                <w:rFonts w:cstheme="minorHAnsi"/>
                <w:sz w:val="20"/>
                <w:szCs w:val="20"/>
              </w:rPr>
            </w:pPr>
            <w:r w:rsidRPr="00911CB2">
              <w:rPr>
                <w:rFonts w:cstheme="minorHAnsi"/>
                <w:sz w:val="20"/>
                <w:szCs w:val="20"/>
              </w:rPr>
              <w:t>Disputes</w:t>
            </w:r>
            <w:r w:rsidR="00FA69C4" w:rsidRPr="00911CB2">
              <w:rPr>
                <w:rFonts w:cstheme="minorHAnsi"/>
                <w:sz w:val="20"/>
                <w:szCs w:val="20"/>
              </w:rPr>
              <w:t>, Conversion adjustments and Monetary invoicing threshold review</w:t>
            </w:r>
          </w:p>
          <w:p w14:paraId="32E07DDB" w14:textId="6611476C" w:rsidR="006F5809" w:rsidRPr="00911CB2" w:rsidRDefault="006F5809" w:rsidP="00912F6B">
            <w:pPr>
              <w:numPr>
                <w:ilvl w:val="0"/>
                <w:numId w:val="35"/>
              </w:numPr>
              <w:jc w:val="both"/>
              <w:rPr>
                <w:rFonts w:cstheme="minorHAnsi"/>
                <w:sz w:val="20"/>
                <w:szCs w:val="20"/>
              </w:rPr>
            </w:pPr>
            <w:r w:rsidRPr="00911CB2">
              <w:rPr>
                <w:rFonts w:cstheme="minorHAnsi"/>
                <w:sz w:val="20"/>
                <w:szCs w:val="20"/>
              </w:rPr>
              <w:t>Customer Support</w:t>
            </w:r>
            <w:r w:rsidR="00FA69C4" w:rsidRPr="00911CB2">
              <w:rPr>
                <w:rFonts w:cstheme="minorHAnsi"/>
                <w:sz w:val="20"/>
                <w:szCs w:val="20"/>
              </w:rPr>
              <w:t xml:space="preserve"> (DHHS staff and partners, labelers, CMS, </w:t>
            </w:r>
            <w:r w:rsidR="00143F5A" w:rsidRPr="00911CB2">
              <w:rPr>
                <w:rFonts w:cstheme="minorHAnsi"/>
                <w:sz w:val="20"/>
                <w:szCs w:val="20"/>
              </w:rPr>
              <w:t>etc.</w:t>
            </w:r>
            <w:r w:rsidR="00FA69C4" w:rsidRPr="00911CB2">
              <w:rPr>
                <w:rFonts w:cstheme="minorHAnsi"/>
                <w:sz w:val="20"/>
                <w:szCs w:val="20"/>
              </w:rPr>
              <w:t>)</w:t>
            </w:r>
          </w:p>
          <w:p w14:paraId="22FA4744" w14:textId="77777777" w:rsidR="006F5809" w:rsidRPr="00911CB2" w:rsidRDefault="006F5809" w:rsidP="00912F6B">
            <w:pPr>
              <w:numPr>
                <w:ilvl w:val="0"/>
                <w:numId w:val="35"/>
              </w:numPr>
              <w:jc w:val="both"/>
              <w:rPr>
                <w:rFonts w:cstheme="minorHAnsi"/>
                <w:sz w:val="20"/>
                <w:szCs w:val="20"/>
              </w:rPr>
            </w:pPr>
            <w:r w:rsidRPr="00911CB2">
              <w:rPr>
                <w:rFonts w:cstheme="minorHAnsi"/>
                <w:sz w:val="20"/>
                <w:szCs w:val="20"/>
              </w:rPr>
              <w:t>Training</w:t>
            </w:r>
          </w:p>
          <w:p w14:paraId="43475F3D" w14:textId="28175A91" w:rsidR="006F5809" w:rsidRPr="00911CB2" w:rsidRDefault="006F5809" w:rsidP="00912F6B">
            <w:pPr>
              <w:numPr>
                <w:ilvl w:val="0"/>
                <w:numId w:val="35"/>
              </w:numPr>
              <w:jc w:val="both"/>
              <w:rPr>
                <w:rFonts w:cstheme="minorHAnsi"/>
                <w:sz w:val="20"/>
                <w:szCs w:val="20"/>
              </w:rPr>
            </w:pPr>
            <w:r w:rsidRPr="00911CB2">
              <w:rPr>
                <w:rFonts w:cstheme="minorHAnsi"/>
                <w:sz w:val="20"/>
                <w:szCs w:val="20"/>
              </w:rPr>
              <w:t>System Maintenance</w:t>
            </w:r>
          </w:p>
        </w:tc>
        <w:tc>
          <w:tcPr>
            <w:tcW w:w="3825" w:type="dxa"/>
          </w:tcPr>
          <w:p w14:paraId="241D753D" w14:textId="265FFB5D" w:rsidR="006F5809" w:rsidRPr="00911CB2" w:rsidRDefault="006504D9" w:rsidP="00912F6B">
            <w:pPr>
              <w:jc w:val="both"/>
              <w:rPr>
                <w:rFonts w:cstheme="minorHAnsi"/>
                <w:sz w:val="20"/>
                <w:szCs w:val="20"/>
              </w:rPr>
            </w:pPr>
            <w:r>
              <w:rPr>
                <w:rFonts w:cstheme="minorHAnsi"/>
                <w:sz w:val="20"/>
                <w:szCs w:val="20"/>
              </w:rPr>
              <w:t>Vendor</w:t>
            </w:r>
            <w:r w:rsidRPr="00911CB2">
              <w:rPr>
                <w:rFonts w:cstheme="minorHAnsi"/>
                <w:sz w:val="20"/>
                <w:szCs w:val="20"/>
              </w:rPr>
              <w:t xml:space="preserve"> </w:t>
            </w:r>
            <w:r w:rsidR="006F5809" w:rsidRPr="00911CB2">
              <w:rPr>
                <w:rFonts w:cstheme="minorHAnsi"/>
                <w:sz w:val="20"/>
                <w:szCs w:val="20"/>
              </w:rPr>
              <w:t xml:space="preserve">must </w:t>
            </w:r>
            <w:r w:rsidR="007420C4" w:rsidRPr="00911CB2">
              <w:rPr>
                <w:rFonts w:cstheme="minorHAnsi"/>
                <w:sz w:val="20"/>
                <w:szCs w:val="20"/>
              </w:rPr>
              <w:t xml:space="preserve">identify and </w:t>
            </w:r>
            <w:r w:rsidR="006F5809" w:rsidRPr="00911CB2">
              <w:rPr>
                <w:rFonts w:cstheme="minorHAnsi"/>
                <w:sz w:val="20"/>
                <w:szCs w:val="20"/>
              </w:rPr>
              <w:t xml:space="preserve">provide trained staff thirty (30) calendar days </w:t>
            </w:r>
            <w:r w:rsidR="00934EC2" w:rsidRPr="00911CB2">
              <w:rPr>
                <w:rFonts w:cstheme="minorHAnsi"/>
                <w:sz w:val="20"/>
                <w:szCs w:val="20"/>
              </w:rPr>
              <w:t>prior to</w:t>
            </w:r>
            <w:r w:rsidR="006F5809" w:rsidRPr="00911CB2">
              <w:rPr>
                <w:rFonts w:cstheme="minorHAnsi"/>
                <w:sz w:val="20"/>
                <w:szCs w:val="20"/>
              </w:rPr>
              <w:t xml:space="preserve"> the Go Live date. Replacement of Key Personnel will take place within thirty (30) calendar days.</w:t>
            </w:r>
          </w:p>
        </w:tc>
        <w:tc>
          <w:tcPr>
            <w:tcW w:w="3415" w:type="dxa"/>
          </w:tcPr>
          <w:p w14:paraId="192762FB" w14:textId="4B3AE37E" w:rsidR="006F5809" w:rsidRPr="00911CB2" w:rsidRDefault="006F5809" w:rsidP="00912F6B">
            <w:pPr>
              <w:jc w:val="both"/>
              <w:rPr>
                <w:rFonts w:cstheme="minorHAnsi"/>
                <w:sz w:val="20"/>
                <w:szCs w:val="20"/>
              </w:rPr>
            </w:pPr>
            <w:r w:rsidRPr="00911CB2">
              <w:rPr>
                <w:rFonts w:cstheme="minorHAnsi"/>
                <w:sz w:val="20"/>
                <w:szCs w:val="20"/>
              </w:rPr>
              <w:t>DHHS may assess up to $</w:t>
            </w:r>
            <w:r w:rsidR="007420C4" w:rsidRPr="00911CB2">
              <w:rPr>
                <w:rFonts w:cstheme="minorHAnsi"/>
                <w:sz w:val="20"/>
                <w:szCs w:val="20"/>
              </w:rPr>
              <w:t>5</w:t>
            </w:r>
            <w:r w:rsidRPr="00911CB2">
              <w:rPr>
                <w:rFonts w:cstheme="minorHAnsi"/>
                <w:sz w:val="20"/>
                <w:szCs w:val="20"/>
              </w:rPr>
              <w:t>,000 per Business Day for each Business Day beyond the thirty (30) calendar days allowed for replacement of Key Personnel.</w:t>
            </w:r>
          </w:p>
        </w:tc>
      </w:tr>
      <w:tr w:rsidR="006F5809" w:rsidRPr="00911CB2" w14:paraId="4C0B9649" w14:textId="77777777" w:rsidTr="00D23D44">
        <w:tc>
          <w:tcPr>
            <w:tcW w:w="1345" w:type="dxa"/>
            <w:vAlign w:val="center"/>
          </w:tcPr>
          <w:p w14:paraId="4EC524A6" w14:textId="77777777" w:rsidR="006F5809" w:rsidRPr="00911CB2" w:rsidRDefault="006F5809" w:rsidP="00912F6B">
            <w:pPr>
              <w:pStyle w:val="ListParagraph"/>
              <w:numPr>
                <w:ilvl w:val="0"/>
                <w:numId w:val="1"/>
              </w:numPr>
              <w:spacing w:after="0" w:line="240" w:lineRule="auto"/>
              <w:jc w:val="both"/>
              <w:rPr>
                <w:rFonts w:cstheme="minorHAnsi"/>
                <w:sz w:val="20"/>
                <w:szCs w:val="20"/>
              </w:rPr>
            </w:pPr>
          </w:p>
        </w:tc>
        <w:tc>
          <w:tcPr>
            <w:tcW w:w="1530" w:type="dxa"/>
            <w:vAlign w:val="center"/>
          </w:tcPr>
          <w:p w14:paraId="7C1BC992" w14:textId="77777777" w:rsidR="006F5809" w:rsidRPr="00911CB2" w:rsidRDefault="006F5809" w:rsidP="00912F6B">
            <w:pPr>
              <w:jc w:val="both"/>
              <w:rPr>
                <w:rFonts w:cstheme="minorHAnsi"/>
                <w:sz w:val="20"/>
                <w:szCs w:val="20"/>
              </w:rPr>
            </w:pPr>
            <w:r w:rsidRPr="00911CB2">
              <w:rPr>
                <w:rFonts w:cstheme="minorHAnsi"/>
                <w:sz w:val="20"/>
                <w:szCs w:val="20"/>
              </w:rPr>
              <w:t>TCC-1</w:t>
            </w:r>
          </w:p>
        </w:tc>
        <w:tc>
          <w:tcPr>
            <w:tcW w:w="3825" w:type="dxa"/>
          </w:tcPr>
          <w:p w14:paraId="5110DB00" w14:textId="2D364845" w:rsidR="006F5809" w:rsidRPr="00911CB2" w:rsidRDefault="006F5809" w:rsidP="00912F6B">
            <w:pPr>
              <w:jc w:val="both"/>
              <w:rPr>
                <w:rFonts w:cstheme="minorHAnsi"/>
                <w:sz w:val="20"/>
                <w:szCs w:val="20"/>
              </w:rPr>
            </w:pPr>
            <w:r w:rsidRPr="00911CB2">
              <w:rPr>
                <w:rFonts w:cstheme="minorHAnsi"/>
                <w:sz w:val="20"/>
                <w:szCs w:val="20"/>
              </w:rPr>
              <w:t xml:space="preserve">At least one hundred eighty (180) days before the end of the Contract, the </w:t>
            </w:r>
            <w:r w:rsidR="00EA2AA0">
              <w:rPr>
                <w:rFonts w:cstheme="minorHAnsi"/>
                <w:sz w:val="20"/>
                <w:szCs w:val="20"/>
              </w:rPr>
              <w:t>Vendor</w:t>
            </w:r>
            <w:r w:rsidR="00EA2AA0" w:rsidRPr="00911CB2">
              <w:rPr>
                <w:rFonts w:cstheme="minorHAnsi"/>
                <w:sz w:val="20"/>
                <w:szCs w:val="20"/>
              </w:rPr>
              <w:t xml:space="preserve"> </w:t>
            </w:r>
            <w:r w:rsidRPr="00911CB2">
              <w:rPr>
                <w:rFonts w:cstheme="minorHAnsi"/>
                <w:sz w:val="20"/>
                <w:szCs w:val="20"/>
              </w:rPr>
              <w:t>must develop and implement a DHHS approved Turnover Plan. The Turnover Plan must be comprehensive detailing the proposed schedule, activities, and resource requirements associated with turnover tasks.</w:t>
            </w:r>
          </w:p>
        </w:tc>
        <w:tc>
          <w:tcPr>
            <w:tcW w:w="3825" w:type="dxa"/>
          </w:tcPr>
          <w:p w14:paraId="0EAE7DAC" w14:textId="77777777" w:rsidR="006F5809" w:rsidRPr="00911CB2" w:rsidRDefault="006F5809" w:rsidP="00912F6B">
            <w:pPr>
              <w:jc w:val="both"/>
              <w:rPr>
                <w:rFonts w:cstheme="minorHAnsi"/>
                <w:sz w:val="20"/>
                <w:szCs w:val="20"/>
              </w:rPr>
            </w:pPr>
            <w:r w:rsidRPr="00911CB2">
              <w:rPr>
                <w:rFonts w:cstheme="minorHAnsi"/>
                <w:sz w:val="20"/>
                <w:szCs w:val="20"/>
              </w:rPr>
              <w:t>Same as requirement.</w:t>
            </w:r>
          </w:p>
        </w:tc>
        <w:tc>
          <w:tcPr>
            <w:tcW w:w="3415" w:type="dxa"/>
          </w:tcPr>
          <w:p w14:paraId="5717EDD3" w14:textId="167F3D56" w:rsidR="006F5809" w:rsidRPr="00911CB2" w:rsidRDefault="007420C4" w:rsidP="00912F6B">
            <w:pPr>
              <w:jc w:val="both"/>
              <w:rPr>
                <w:rFonts w:cstheme="minorHAnsi"/>
                <w:sz w:val="20"/>
                <w:szCs w:val="20"/>
              </w:rPr>
            </w:pPr>
            <w:r w:rsidRPr="00911CB2">
              <w:rPr>
                <w:rFonts w:cstheme="minorHAnsi"/>
                <w:sz w:val="20"/>
                <w:szCs w:val="20"/>
              </w:rPr>
              <w:t>DHHS may assess $5,000 per day not in compliance with performance standard.</w:t>
            </w:r>
          </w:p>
        </w:tc>
      </w:tr>
    </w:tbl>
    <w:p w14:paraId="189E5F89" w14:textId="6F60A185" w:rsidR="00C1242D" w:rsidRDefault="00C1242D" w:rsidP="00912F6B">
      <w:pPr>
        <w:jc w:val="both"/>
        <w:rPr>
          <w:color w:val="FF0000"/>
        </w:rPr>
      </w:pPr>
    </w:p>
    <w:p w14:paraId="5467618C" w14:textId="77777777" w:rsidR="00945B99" w:rsidRDefault="00945B99" w:rsidP="00912F6B">
      <w:pPr>
        <w:jc w:val="both"/>
        <w:rPr>
          <w:color w:val="FF0000"/>
        </w:rPr>
      </w:pPr>
    </w:p>
    <w:sectPr w:rsidR="00945B99" w:rsidSect="00A31A58">
      <w:footerReference w:type="default" r:id="rId11"/>
      <w:pgSz w:w="15840" w:h="12240" w:orient="landscape"/>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1C6D" w14:textId="77777777" w:rsidR="00715C11" w:rsidRDefault="00715C11" w:rsidP="002B7AC5">
      <w:pPr>
        <w:spacing w:after="0" w:line="240" w:lineRule="auto"/>
      </w:pPr>
      <w:r>
        <w:separator/>
      </w:r>
    </w:p>
  </w:endnote>
  <w:endnote w:type="continuationSeparator" w:id="0">
    <w:p w14:paraId="5A17FF75" w14:textId="77777777" w:rsidR="00715C11" w:rsidRDefault="00715C11" w:rsidP="002B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62066"/>
      <w:docPartObj>
        <w:docPartGallery w:val="Page Numbers (Bottom of Page)"/>
        <w:docPartUnique/>
      </w:docPartObj>
    </w:sdtPr>
    <w:sdtEndPr>
      <w:rPr>
        <w:noProof/>
      </w:rPr>
    </w:sdtEndPr>
    <w:sdtContent>
      <w:p w14:paraId="63146B31" w14:textId="5E9ABB76" w:rsidR="00A828C4" w:rsidRDefault="00A828C4">
        <w:pPr>
          <w:pStyle w:val="Footer"/>
          <w:jc w:val="center"/>
        </w:pPr>
        <w:r>
          <w:fldChar w:fldCharType="begin"/>
        </w:r>
        <w:r>
          <w:instrText xml:space="preserve"> PAGE   \* MERGEFORMAT </w:instrText>
        </w:r>
        <w:r>
          <w:fldChar w:fldCharType="separate"/>
        </w:r>
        <w:r w:rsidR="00877521">
          <w:rPr>
            <w:noProof/>
          </w:rPr>
          <w:t>6</w:t>
        </w:r>
        <w:r>
          <w:rPr>
            <w:noProof/>
          </w:rPr>
          <w:fldChar w:fldCharType="end"/>
        </w:r>
      </w:p>
    </w:sdtContent>
  </w:sdt>
  <w:p w14:paraId="358D09BB" w14:textId="77777777" w:rsidR="00A828C4" w:rsidRDefault="00A82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06D1" w14:textId="77777777" w:rsidR="00715C11" w:rsidRDefault="00715C11" w:rsidP="002B7AC5">
      <w:pPr>
        <w:spacing w:after="0" w:line="240" w:lineRule="auto"/>
      </w:pPr>
      <w:r>
        <w:separator/>
      </w:r>
    </w:p>
  </w:footnote>
  <w:footnote w:type="continuationSeparator" w:id="0">
    <w:p w14:paraId="0DB585E1" w14:textId="77777777" w:rsidR="00715C11" w:rsidRDefault="00715C11" w:rsidP="002B7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0F3"/>
    <w:multiLevelType w:val="hybridMultilevel"/>
    <w:tmpl w:val="88EAE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02608"/>
    <w:multiLevelType w:val="hybridMultilevel"/>
    <w:tmpl w:val="7A1601A6"/>
    <w:lvl w:ilvl="0" w:tplc="9C469288">
      <w:start w:val="1"/>
      <w:numFmt w:val="decimal"/>
      <w:lvlText w:val="%1."/>
      <w:lvlJc w:val="left"/>
      <w:pPr>
        <w:ind w:left="1020" w:hanging="360"/>
      </w:pPr>
    </w:lvl>
    <w:lvl w:ilvl="1" w:tplc="D410FDBA">
      <w:start w:val="1"/>
      <w:numFmt w:val="decimal"/>
      <w:lvlText w:val="%2."/>
      <w:lvlJc w:val="left"/>
      <w:pPr>
        <w:ind w:left="1020" w:hanging="360"/>
      </w:pPr>
    </w:lvl>
    <w:lvl w:ilvl="2" w:tplc="520AD4F0">
      <w:start w:val="1"/>
      <w:numFmt w:val="decimal"/>
      <w:lvlText w:val="%3."/>
      <w:lvlJc w:val="left"/>
      <w:pPr>
        <w:ind w:left="1020" w:hanging="360"/>
      </w:pPr>
    </w:lvl>
    <w:lvl w:ilvl="3" w:tplc="7286101A">
      <w:start w:val="1"/>
      <w:numFmt w:val="decimal"/>
      <w:lvlText w:val="%4."/>
      <w:lvlJc w:val="left"/>
      <w:pPr>
        <w:ind w:left="1020" w:hanging="360"/>
      </w:pPr>
    </w:lvl>
    <w:lvl w:ilvl="4" w:tplc="2E7EF034">
      <w:start w:val="1"/>
      <w:numFmt w:val="decimal"/>
      <w:lvlText w:val="%5."/>
      <w:lvlJc w:val="left"/>
      <w:pPr>
        <w:ind w:left="1020" w:hanging="360"/>
      </w:pPr>
    </w:lvl>
    <w:lvl w:ilvl="5" w:tplc="C3A416DC">
      <w:start w:val="1"/>
      <w:numFmt w:val="decimal"/>
      <w:lvlText w:val="%6."/>
      <w:lvlJc w:val="left"/>
      <w:pPr>
        <w:ind w:left="1020" w:hanging="360"/>
      </w:pPr>
    </w:lvl>
    <w:lvl w:ilvl="6" w:tplc="392844A2">
      <w:start w:val="1"/>
      <w:numFmt w:val="decimal"/>
      <w:lvlText w:val="%7."/>
      <w:lvlJc w:val="left"/>
      <w:pPr>
        <w:ind w:left="1020" w:hanging="360"/>
      </w:pPr>
    </w:lvl>
    <w:lvl w:ilvl="7" w:tplc="6DC20FBA">
      <w:start w:val="1"/>
      <w:numFmt w:val="decimal"/>
      <w:lvlText w:val="%8."/>
      <w:lvlJc w:val="left"/>
      <w:pPr>
        <w:ind w:left="1020" w:hanging="360"/>
      </w:pPr>
    </w:lvl>
    <w:lvl w:ilvl="8" w:tplc="B130EDD8">
      <w:start w:val="1"/>
      <w:numFmt w:val="decimal"/>
      <w:lvlText w:val="%9."/>
      <w:lvlJc w:val="left"/>
      <w:pPr>
        <w:ind w:left="1020" w:hanging="360"/>
      </w:pPr>
    </w:lvl>
  </w:abstractNum>
  <w:abstractNum w:abstractNumId="2" w15:restartNumberingAfterBreak="0">
    <w:nsid w:val="0AD25957"/>
    <w:multiLevelType w:val="hybridMultilevel"/>
    <w:tmpl w:val="3FAE65A0"/>
    <w:lvl w:ilvl="0" w:tplc="053C1A16">
      <w:start w:val="1"/>
      <w:numFmt w:val="decimal"/>
      <w:lvlText w:val="%1."/>
      <w:lvlJc w:val="left"/>
      <w:pPr>
        <w:ind w:left="1020" w:hanging="360"/>
      </w:pPr>
    </w:lvl>
    <w:lvl w:ilvl="1" w:tplc="1C46273C">
      <w:start w:val="1"/>
      <w:numFmt w:val="decimal"/>
      <w:lvlText w:val="%2."/>
      <w:lvlJc w:val="left"/>
      <w:pPr>
        <w:ind w:left="1020" w:hanging="360"/>
      </w:pPr>
    </w:lvl>
    <w:lvl w:ilvl="2" w:tplc="88C42D60">
      <w:start w:val="1"/>
      <w:numFmt w:val="decimal"/>
      <w:lvlText w:val="%3."/>
      <w:lvlJc w:val="left"/>
      <w:pPr>
        <w:ind w:left="1020" w:hanging="360"/>
      </w:pPr>
    </w:lvl>
    <w:lvl w:ilvl="3" w:tplc="3D8C710C">
      <w:start w:val="1"/>
      <w:numFmt w:val="decimal"/>
      <w:lvlText w:val="%4."/>
      <w:lvlJc w:val="left"/>
      <w:pPr>
        <w:ind w:left="1020" w:hanging="360"/>
      </w:pPr>
    </w:lvl>
    <w:lvl w:ilvl="4" w:tplc="7C12361C">
      <w:start w:val="1"/>
      <w:numFmt w:val="decimal"/>
      <w:lvlText w:val="%5."/>
      <w:lvlJc w:val="left"/>
      <w:pPr>
        <w:ind w:left="1020" w:hanging="360"/>
      </w:pPr>
    </w:lvl>
    <w:lvl w:ilvl="5" w:tplc="5150E024">
      <w:start w:val="1"/>
      <w:numFmt w:val="decimal"/>
      <w:lvlText w:val="%6."/>
      <w:lvlJc w:val="left"/>
      <w:pPr>
        <w:ind w:left="1020" w:hanging="360"/>
      </w:pPr>
    </w:lvl>
    <w:lvl w:ilvl="6" w:tplc="63CA9F48">
      <w:start w:val="1"/>
      <w:numFmt w:val="decimal"/>
      <w:lvlText w:val="%7."/>
      <w:lvlJc w:val="left"/>
      <w:pPr>
        <w:ind w:left="1020" w:hanging="360"/>
      </w:pPr>
    </w:lvl>
    <w:lvl w:ilvl="7" w:tplc="F56016E4">
      <w:start w:val="1"/>
      <w:numFmt w:val="decimal"/>
      <w:lvlText w:val="%8."/>
      <w:lvlJc w:val="left"/>
      <w:pPr>
        <w:ind w:left="1020" w:hanging="360"/>
      </w:pPr>
    </w:lvl>
    <w:lvl w:ilvl="8" w:tplc="6BCE4AF6">
      <w:start w:val="1"/>
      <w:numFmt w:val="decimal"/>
      <w:lvlText w:val="%9."/>
      <w:lvlJc w:val="left"/>
      <w:pPr>
        <w:ind w:left="1020" w:hanging="360"/>
      </w:pPr>
    </w:lvl>
  </w:abstractNum>
  <w:abstractNum w:abstractNumId="3" w15:restartNumberingAfterBreak="0">
    <w:nsid w:val="0CF132BF"/>
    <w:multiLevelType w:val="hybridMultilevel"/>
    <w:tmpl w:val="1CA69698"/>
    <w:lvl w:ilvl="0" w:tplc="BE2659FE">
      <w:start w:val="1"/>
      <w:numFmt w:val="decimal"/>
      <w:lvlText w:val="%1."/>
      <w:lvlJc w:val="left"/>
      <w:pPr>
        <w:ind w:left="1020" w:hanging="360"/>
      </w:pPr>
    </w:lvl>
    <w:lvl w:ilvl="1" w:tplc="D63EB31A">
      <w:start w:val="1"/>
      <w:numFmt w:val="decimal"/>
      <w:lvlText w:val="%2."/>
      <w:lvlJc w:val="left"/>
      <w:pPr>
        <w:ind w:left="1020" w:hanging="360"/>
      </w:pPr>
    </w:lvl>
    <w:lvl w:ilvl="2" w:tplc="784EC6EE">
      <w:start w:val="1"/>
      <w:numFmt w:val="decimal"/>
      <w:lvlText w:val="%3."/>
      <w:lvlJc w:val="left"/>
      <w:pPr>
        <w:ind w:left="1020" w:hanging="360"/>
      </w:pPr>
    </w:lvl>
    <w:lvl w:ilvl="3" w:tplc="53649224">
      <w:start w:val="1"/>
      <w:numFmt w:val="decimal"/>
      <w:lvlText w:val="%4."/>
      <w:lvlJc w:val="left"/>
      <w:pPr>
        <w:ind w:left="1020" w:hanging="360"/>
      </w:pPr>
    </w:lvl>
    <w:lvl w:ilvl="4" w:tplc="DC00A8B4">
      <w:start w:val="1"/>
      <w:numFmt w:val="decimal"/>
      <w:lvlText w:val="%5."/>
      <w:lvlJc w:val="left"/>
      <w:pPr>
        <w:ind w:left="1020" w:hanging="360"/>
      </w:pPr>
    </w:lvl>
    <w:lvl w:ilvl="5" w:tplc="73005B30">
      <w:start w:val="1"/>
      <w:numFmt w:val="decimal"/>
      <w:lvlText w:val="%6."/>
      <w:lvlJc w:val="left"/>
      <w:pPr>
        <w:ind w:left="1020" w:hanging="360"/>
      </w:pPr>
    </w:lvl>
    <w:lvl w:ilvl="6" w:tplc="A3CC5062">
      <w:start w:val="1"/>
      <w:numFmt w:val="decimal"/>
      <w:lvlText w:val="%7."/>
      <w:lvlJc w:val="left"/>
      <w:pPr>
        <w:ind w:left="1020" w:hanging="360"/>
      </w:pPr>
    </w:lvl>
    <w:lvl w:ilvl="7" w:tplc="369A098A">
      <w:start w:val="1"/>
      <w:numFmt w:val="decimal"/>
      <w:lvlText w:val="%8."/>
      <w:lvlJc w:val="left"/>
      <w:pPr>
        <w:ind w:left="1020" w:hanging="360"/>
      </w:pPr>
    </w:lvl>
    <w:lvl w:ilvl="8" w:tplc="50D8CB4C">
      <w:start w:val="1"/>
      <w:numFmt w:val="decimal"/>
      <w:lvlText w:val="%9."/>
      <w:lvlJc w:val="left"/>
      <w:pPr>
        <w:ind w:left="1020" w:hanging="360"/>
      </w:pPr>
    </w:lvl>
  </w:abstractNum>
  <w:abstractNum w:abstractNumId="4" w15:restartNumberingAfterBreak="0">
    <w:nsid w:val="0DBB6662"/>
    <w:multiLevelType w:val="hybridMultilevel"/>
    <w:tmpl w:val="11B6E65A"/>
    <w:lvl w:ilvl="0" w:tplc="DBBEA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35BF3"/>
    <w:multiLevelType w:val="hybridMultilevel"/>
    <w:tmpl w:val="A92A3656"/>
    <w:lvl w:ilvl="0" w:tplc="EA7C5906">
      <w:start w:val="1"/>
      <w:numFmt w:val="decimal"/>
      <w:lvlText w:val="%1."/>
      <w:lvlJc w:val="left"/>
      <w:pPr>
        <w:ind w:left="1020" w:hanging="360"/>
      </w:pPr>
    </w:lvl>
    <w:lvl w:ilvl="1" w:tplc="9F60CD9C">
      <w:start w:val="1"/>
      <w:numFmt w:val="decimal"/>
      <w:lvlText w:val="%2."/>
      <w:lvlJc w:val="left"/>
      <w:pPr>
        <w:ind w:left="1020" w:hanging="360"/>
      </w:pPr>
    </w:lvl>
    <w:lvl w:ilvl="2" w:tplc="90FA34E2">
      <w:start w:val="1"/>
      <w:numFmt w:val="decimal"/>
      <w:lvlText w:val="%3."/>
      <w:lvlJc w:val="left"/>
      <w:pPr>
        <w:ind w:left="1020" w:hanging="360"/>
      </w:pPr>
    </w:lvl>
    <w:lvl w:ilvl="3" w:tplc="25BAB93E">
      <w:start w:val="1"/>
      <w:numFmt w:val="decimal"/>
      <w:lvlText w:val="%4."/>
      <w:lvlJc w:val="left"/>
      <w:pPr>
        <w:ind w:left="1020" w:hanging="360"/>
      </w:pPr>
    </w:lvl>
    <w:lvl w:ilvl="4" w:tplc="30686A88">
      <w:start w:val="1"/>
      <w:numFmt w:val="decimal"/>
      <w:lvlText w:val="%5."/>
      <w:lvlJc w:val="left"/>
      <w:pPr>
        <w:ind w:left="1020" w:hanging="360"/>
      </w:pPr>
    </w:lvl>
    <w:lvl w:ilvl="5" w:tplc="6BAC12F0">
      <w:start w:val="1"/>
      <w:numFmt w:val="decimal"/>
      <w:lvlText w:val="%6."/>
      <w:lvlJc w:val="left"/>
      <w:pPr>
        <w:ind w:left="1020" w:hanging="360"/>
      </w:pPr>
    </w:lvl>
    <w:lvl w:ilvl="6" w:tplc="BD087FD8">
      <w:start w:val="1"/>
      <w:numFmt w:val="decimal"/>
      <w:lvlText w:val="%7."/>
      <w:lvlJc w:val="left"/>
      <w:pPr>
        <w:ind w:left="1020" w:hanging="360"/>
      </w:pPr>
    </w:lvl>
    <w:lvl w:ilvl="7" w:tplc="1A2ED9A2">
      <w:start w:val="1"/>
      <w:numFmt w:val="decimal"/>
      <w:lvlText w:val="%8."/>
      <w:lvlJc w:val="left"/>
      <w:pPr>
        <w:ind w:left="1020" w:hanging="360"/>
      </w:pPr>
    </w:lvl>
    <w:lvl w:ilvl="8" w:tplc="94D433D6">
      <w:start w:val="1"/>
      <w:numFmt w:val="decimal"/>
      <w:lvlText w:val="%9."/>
      <w:lvlJc w:val="left"/>
      <w:pPr>
        <w:ind w:left="1020" w:hanging="360"/>
      </w:pPr>
    </w:lvl>
  </w:abstractNum>
  <w:abstractNum w:abstractNumId="6" w15:restartNumberingAfterBreak="0">
    <w:nsid w:val="12AB6518"/>
    <w:multiLevelType w:val="hybridMultilevel"/>
    <w:tmpl w:val="08FE3FC4"/>
    <w:lvl w:ilvl="0" w:tplc="AD0E73CC">
      <w:start w:val="1"/>
      <w:numFmt w:val="decimal"/>
      <w:lvlText w:val="%1."/>
      <w:lvlJc w:val="left"/>
      <w:pPr>
        <w:ind w:left="1020" w:hanging="360"/>
      </w:pPr>
    </w:lvl>
    <w:lvl w:ilvl="1" w:tplc="C818EBD8">
      <w:start w:val="1"/>
      <w:numFmt w:val="decimal"/>
      <w:lvlText w:val="%2."/>
      <w:lvlJc w:val="left"/>
      <w:pPr>
        <w:ind w:left="1020" w:hanging="360"/>
      </w:pPr>
    </w:lvl>
    <w:lvl w:ilvl="2" w:tplc="674ADA90">
      <w:start w:val="1"/>
      <w:numFmt w:val="decimal"/>
      <w:lvlText w:val="%3."/>
      <w:lvlJc w:val="left"/>
      <w:pPr>
        <w:ind w:left="1020" w:hanging="360"/>
      </w:pPr>
    </w:lvl>
    <w:lvl w:ilvl="3" w:tplc="7A6C18FE">
      <w:start w:val="1"/>
      <w:numFmt w:val="decimal"/>
      <w:lvlText w:val="%4."/>
      <w:lvlJc w:val="left"/>
      <w:pPr>
        <w:ind w:left="1020" w:hanging="360"/>
      </w:pPr>
    </w:lvl>
    <w:lvl w:ilvl="4" w:tplc="0EAE9D08">
      <w:start w:val="1"/>
      <w:numFmt w:val="decimal"/>
      <w:lvlText w:val="%5."/>
      <w:lvlJc w:val="left"/>
      <w:pPr>
        <w:ind w:left="1020" w:hanging="360"/>
      </w:pPr>
    </w:lvl>
    <w:lvl w:ilvl="5" w:tplc="CDD87B92">
      <w:start w:val="1"/>
      <w:numFmt w:val="decimal"/>
      <w:lvlText w:val="%6."/>
      <w:lvlJc w:val="left"/>
      <w:pPr>
        <w:ind w:left="1020" w:hanging="360"/>
      </w:pPr>
    </w:lvl>
    <w:lvl w:ilvl="6" w:tplc="0E2062DC">
      <w:start w:val="1"/>
      <w:numFmt w:val="decimal"/>
      <w:lvlText w:val="%7."/>
      <w:lvlJc w:val="left"/>
      <w:pPr>
        <w:ind w:left="1020" w:hanging="360"/>
      </w:pPr>
    </w:lvl>
    <w:lvl w:ilvl="7" w:tplc="262483EC">
      <w:start w:val="1"/>
      <w:numFmt w:val="decimal"/>
      <w:lvlText w:val="%8."/>
      <w:lvlJc w:val="left"/>
      <w:pPr>
        <w:ind w:left="1020" w:hanging="360"/>
      </w:pPr>
    </w:lvl>
    <w:lvl w:ilvl="8" w:tplc="90267194">
      <w:start w:val="1"/>
      <w:numFmt w:val="decimal"/>
      <w:lvlText w:val="%9."/>
      <w:lvlJc w:val="left"/>
      <w:pPr>
        <w:ind w:left="1020" w:hanging="360"/>
      </w:pPr>
    </w:lvl>
  </w:abstractNum>
  <w:abstractNum w:abstractNumId="7" w15:restartNumberingAfterBreak="0">
    <w:nsid w:val="17426519"/>
    <w:multiLevelType w:val="hybridMultilevel"/>
    <w:tmpl w:val="938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0122F"/>
    <w:multiLevelType w:val="hybridMultilevel"/>
    <w:tmpl w:val="8BA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3E82"/>
    <w:multiLevelType w:val="hybridMultilevel"/>
    <w:tmpl w:val="6A6AD2F0"/>
    <w:lvl w:ilvl="0" w:tplc="DF541A20">
      <w:start w:val="1"/>
      <w:numFmt w:val="decimal"/>
      <w:lvlText w:val="%1."/>
      <w:lvlJc w:val="left"/>
      <w:pPr>
        <w:ind w:left="1020" w:hanging="360"/>
      </w:pPr>
    </w:lvl>
    <w:lvl w:ilvl="1" w:tplc="7BF24E44">
      <w:start w:val="1"/>
      <w:numFmt w:val="decimal"/>
      <w:lvlText w:val="%2."/>
      <w:lvlJc w:val="left"/>
      <w:pPr>
        <w:ind w:left="1020" w:hanging="360"/>
      </w:pPr>
    </w:lvl>
    <w:lvl w:ilvl="2" w:tplc="0BA65BDE">
      <w:start w:val="1"/>
      <w:numFmt w:val="decimal"/>
      <w:lvlText w:val="%3."/>
      <w:lvlJc w:val="left"/>
      <w:pPr>
        <w:ind w:left="1020" w:hanging="360"/>
      </w:pPr>
    </w:lvl>
    <w:lvl w:ilvl="3" w:tplc="D8FE2DE0">
      <w:start w:val="1"/>
      <w:numFmt w:val="decimal"/>
      <w:lvlText w:val="%4."/>
      <w:lvlJc w:val="left"/>
      <w:pPr>
        <w:ind w:left="1020" w:hanging="360"/>
      </w:pPr>
    </w:lvl>
    <w:lvl w:ilvl="4" w:tplc="6076098C">
      <w:start w:val="1"/>
      <w:numFmt w:val="decimal"/>
      <w:lvlText w:val="%5."/>
      <w:lvlJc w:val="left"/>
      <w:pPr>
        <w:ind w:left="1020" w:hanging="360"/>
      </w:pPr>
    </w:lvl>
    <w:lvl w:ilvl="5" w:tplc="82E2A734">
      <w:start w:val="1"/>
      <w:numFmt w:val="decimal"/>
      <w:lvlText w:val="%6."/>
      <w:lvlJc w:val="left"/>
      <w:pPr>
        <w:ind w:left="1020" w:hanging="360"/>
      </w:pPr>
    </w:lvl>
    <w:lvl w:ilvl="6" w:tplc="2402D050">
      <w:start w:val="1"/>
      <w:numFmt w:val="decimal"/>
      <w:lvlText w:val="%7."/>
      <w:lvlJc w:val="left"/>
      <w:pPr>
        <w:ind w:left="1020" w:hanging="360"/>
      </w:pPr>
    </w:lvl>
    <w:lvl w:ilvl="7" w:tplc="15FCE772">
      <w:start w:val="1"/>
      <w:numFmt w:val="decimal"/>
      <w:lvlText w:val="%8."/>
      <w:lvlJc w:val="left"/>
      <w:pPr>
        <w:ind w:left="1020" w:hanging="360"/>
      </w:pPr>
    </w:lvl>
    <w:lvl w:ilvl="8" w:tplc="C51C7F3A">
      <w:start w:val="1"/>
      <w:numFmt w:val="decimal"/>
      <w:lvlText w:val="%9."/>
      <w:lvlJc w:val="left"/>
      <w:pPr>
        <w:ind w:left="1020" w:hanging="360"/>
      </w:pPr>
    </w:lvl>
  </w:abstractNum>
  <w:abstractNum w:abstractNumId="10" w15:restartNumberingAfterBreak="0">
    <w:nsid w:val="1A3C2CE1"/>
    <w:multiLevelType w:val="hybridMultilevel"/>
    <w:tmpl w:val="C9E2957A"/>
    <w:lvl w:ilvl="0" w:tplc="D4F2FAC4">
      <w:start w:val="1"/>
      <w:numFmt w:val="decimal"/>
      <w:lvlText w:val="%1."/>
      <w:lvlJc w:val="left"/>
      <w:pPr>
        <w:ind w:left="1020" w:hanging="360"/>
      </w:pPr>
    </w:lvl>
    <w:lvl w:ilvl="1" w:tplc="EE84D42C">
      <w:start w:val="1"/>
      <w:numFmt w:val="decimal"/>
      <w:lvlText w:val="%2."/>
      <w:lvlJc w:val="left"/>
      <w:pPr>
        <w:ind w:left="1020" w:hanging="360"/>
      </w:pPr>
    </w:lvl>
    <w:lvl w:ilvl="2" w:tplc="2A4E5EC4">
      <w:start w:val="1"/>
      <w:numFmt w:val="decimal"/>
      <w:lvlText w:val="%3."/>
      <w:lvlJc w:val="left"/>
      <w:pPr>
        <w:ind w:left="1020" w:hanging="360"/>
      </w:pPr>
    </w:lvl>
    <w:lvl w:ilvl="3" w:tplc="044E82A6">
      <w:start w:val="1"/>
      <w:numFmt w:val="decimal"/>
      <w:lvlText w:val="%4."/>
      <w:lvlJc w:val="left"/>
      <w:pPr>
        <w:ind w:left="1020" w:hanging="360"/>
      </w:pPr>
    </w:lvl>
    <w:lvl w:ilvl="4" w:tplc="B0E86698">
      <w:start w:val="1"/>
      <w:numFmt w:val="decimal"/>
      <w:lvlText w:val="%5."/>
      <w:lvlJc w:val="left"/>
      <w:pPr>
        <w:ind w:left="1020" w:hanging="360"/>
      </w:pPr>
    </w:lvl>
    <w:lvl w:ilvl="5" w:tplc="2B1C3154">
      <w:start w:val="1"/>
      <w:numFmt w:val="decimal"/>
      <w:lvlText w:val="%6."/>
      <w:lvlJc w:val="left"/>
      <w:pPr>
        <w:ind w:left="1020" w:hanging="360"/>
      </w:pPr>
    </w:lvl>
    <w:lvl w:ilvl="6" w:tplc="BD6E9678">
      <w:start w:val="1"/>
      <w:numFmt w:val="decimal"/>
      <w:lvlText w:val="%7."/>
      <w:lvlJc w:val="left"/>
      <w:pPr>
        <w:ind w:left="1020" w:hanging="360"/>
      </w:pPr>
    </w:lvl>
    <w:lvl w:ilvl="7" w:tplc="F7B8E5B0">
      <w:start w:val="1"/>
      <w:numFmt w:val="decimal"/>
      <w:lvlText w:val="%8."/>
      <w:lvlJc w:val="left"/>
      <w:pPr>
        <w:ind w:left="1020" w:hanging="360"/>
      </w:pPr>
    </w:lvl>
    <w:lvl w:ilvl="8" w:tplc="540E20F0">
      <w:start w:val="1"/>
      <w:numFmt w:val="decimal"/>
      <w:lvlText w:val="%9."/>
      <w:lvlJc w:val="left"/>
      <w:pPr>
        <w:ind w:left="1020" w:hanging="360"/>
      </w:pPr>
    </w:lvl>
  </w:abstractNum>
  <w:abstractNum w:abstractNumId="11" w15:restartNumberingAfterBreak="0">
    <w:nsid w:val="1B5F52DE"/>
    <w:multiLevelType w:val="hybridMultilevel"/>
    <w:tmpl w:val="BD76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548C7"/>
    <w:multiLevelType w:val="hybridMultilevel"/>
    <w:tmpl w:val="794A6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11540"/>
    <w:multiLevelType w:val="hybridMultilevel"/>
    <w:tmpl w:val="ECEE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41A56"/>
    <w:multiLevelType w:val="hybridMultilevel"/>
    <w:tmpl w:val="359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90060"/>
    <w:multiLevelType w:val="hybridMultilevel"/>
    <w:tmpl w:val="0D943CE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31C8711C"/>
    <w:multiLevelType w:val="hybridMultilevel"/>
    <w:tmpl w:val="3772A3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4641000"/>
    <w:multiLevelType w:val="hybridMultilevel"/>
    <w:tmpl w:val="F5A2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B4601"/>
    <w:multiLevelType w:val="hybridMultilevel"/>
    <w:tmpl w:val="C486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A342E"/>
    <w:multiLevelType w:val="hybridMultilevel"/>
    <w:tmpl w:val="D95E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0236F"/>
    <w:multiLevelType w:val="hybridMultilevel"/>
    <w:tmpl w:val="AEAEF786"/>
    <w:lvl w:ilvl="0" w:tplc="F8BA81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07B0F"/>
    <w:multiLevelType w:val="hybridMultilevel"/>
    <w:tmpl w:val="66D8F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10A63"/>
    <w:multiLevelType w:val="hybridMultilevel"/>
    <w:tmpl w:val="6F4E8B38"/>
    <w:lvl w:ilvl="0" w:tplc="5F7CA9B0">
      <w:start w:val="1"/>
      <w:numFmt w:val="decimal"/>
      <w:lvlText w:val="%1."/>
      <w:lvlJc w:val="left"/>
      <w:pPr>
        <w:ind w:left="1020" w:hanging="360"/>
      </w:pPr>
    </w:lvl>
    <w:lvl w:ilvl="1" w:tplc="482E90B4">
      <w:start w:val="1"/>
      <w:numFmt w:val="decimal"/>
      <w:lvlText w:val="%2."/>
      <w:lvlJc w:val="left"/>
      <w:pPr>
        <w:ind w:left="1020" w:hanging="360"/>
      </w:pPr>
    </w:lvl>
    <w:lvl w:ilvl="2" w:tplc="D6667F18">
      <w:start w:val="1"/>
      <w:numFmt w:val="decimal"/>
      <w:lvlText w:val="%3."/>
      <w:lvlJc w:val="left"/>
      <w:pPr>
        <w:ind w:left="1020" w:hanging="360"/>
      </w:pPr>
    </w:lvl>
    <w:lvl w:ilvl="3" w:tplc="2446D718">
      <w:start w:val="1"/>
      <w:numFmt w:val="decimal"/>
      <w:lvlText w:val="%4."/>
      <w:lvlJc w:val="left"/>
      <w:pPr>
        <w:ind w:left="1020" w:hanging="360"/>
      </w:pPr>
    </w:lvl>
    <w:lvl w:ilvl="4" w:tplc="72C0B0A2">
      <w:start w:val="1"/>
      <w:numFmt w:val="decimal"/>
      <w:lvlText w:val="%5."/>
      <w:lvlJc w:val="left"/>
      <w:pPr>
        <w:ind w:left="1020" w:hanging="360"/>
      </w:pPr>
    </w:lvl>
    <w:lvl w:ilvl="5" w:tplc="C602EE0C">
      <w:start w:val="1"/>
      <w:numFmt w:val="decimal"/>
      <w:lvlText w:val="%6."/>
      <w:lvlJc w:val="left"/>
      <w:pPr>
        <w:ind w:left="1020" w:hanging="360"/>
      </w:pPr>
    </w:lvl>
    <w:lvl w:ilvl="6" w:tplc="C908E4B6">
      <w:start w:val="1"/>
      <w:numFmt w:val="decimal"/>
      <w:lvlText w:val="%7."/>
      <w:lvlJc w:val="left"/>
      <w:pPr>
        <w:ind w:left="1020" w:hanging="360"/>
      </w:pPr>
    </w:lvl>
    <w:lvl w:ilvl="7" w:tplc="B9F69236">
      <w:start w:val="1"/>
      <w:numFmt w:val="decimal"/>
      <w:lvlText w:val="%8."/>
      <w:lvlJc w:val="left"/>
      <w:pPr>
        <w:ind w:left="1020" w:hanging="360"/>
      </w:pPr>
    </w:lvl>
    <w:lvl w:ilvl="8" w:tplc="8FF2A10A">
      <w:start w:val="1"/>
      <w:numFmt w:val="decimal"/>
      <w:lvlText w:val="%9."/>
      <w:lvlJc w:val="left"/>
      <w:pPr>
        <w:ind w:left="1020" w:hanging="360"/>
      </w:pPr>
    </w:lvl>
  </w:abstractNum>
  <w:abstractNum w:abstractNumId="23" w15:restartNumberingAfterBreak="0">
    <w:nsid w:val="50482B7F"/>
    <w:multiLevelType w:val="hybridMultilevel"/>
    <w:tmpl w:val="B8449052"/>
    <w:lvl w:ilvl="0" w:tplc="10945072">
      <w:start w:val="1"/>
      <w:numFmt w:val="decimal"/>
      <w:lvlText w:val="%1."/>
      <w:lvlJc w:val="left"/>
      <w:pPr>
        <w:ind w:left="1020" w:hanging="360"/>
      </w:pPr>
    </w:lvl>
    <w:lvl w:ilvl="1" w:tplc="89D403A4">
      <w:start w:val="1"/>
      <w:numFmt w:val="decimal"/>
      <w:lvlText w:val="%2."/>
      <w:lvlJc w:val="left"/>
      <w:pPr>
        <w:ind w:left="1020" w:hanging="360"/>
      </w:pPr>
    </w:lvl>
    <w:lvl w:ilvl="2" w:tplc="E21AACB4">
      <w:start w:val="1"/>
      <w:numFmt w:val="decimal"/>
      <w:lvlText w:val="%3."/>
      <w:lvlJc w:val="left"/>
      <w:pPr>
        <w:ind w:left="1020" w:hanging="360"/>
      </w:pPr>
    </w:lvl>
    <w:lvl w:ilvl="3" w:tplc="05BAFD16">
      <w:start w:val="1"/>
      <w:numFmt w:val="decimal"/>
      <w:lvlText w:val="%4."/>
      <w:lvlJc w:val="left"/>
      <w:pPr>
        <w:ind w:left="1020" w:hanging="360"/>
      </w:pPr>
    </w:lvl>
    <w:lvl w:ilvl="4" w:tplc="E6CE0888">
      <w:start w:val="1"/>
      <w:numFmt w:val="decimal"/>
      <w:lvlText w:val="%5."/>
      <w:lvlJc w:val="left"/>
      <w:pPr>
        <w:ind w:left="1020" w:hanging="360"/>
      </w:pPr>
    </w:lvl>
    <w:lvl w:ilvl="5" w:tplc="BB74E11C">
      <w:start w:val="1"/>
      <w:numFmt w:val="decimal"/>
      <w:lvlText w:val="%6."/>
      <w:lvlJc w:val="left"/>
      <w:pPr>
        <w:ind w:left="1020" w:hanging="360"/>
      </w:pPr>
    </w:lvl>
    <w:lvl w:ilvl="6" w:tplc="8766E2DC">
      <w:start w:val="1"/>
      <w:numFmt w:val="decimal"/>
      <w:lvlText w:val="%7."/>
      <w:lvlJc w:val="left"/>
      <w:pPr>
        <w:ind w:left="1020" w:hanging="360"/>
      </w:pPr>
    </w:lvl>
    <w:lvl w:ilvl="7" w:tplc="9DAC645A">
      <w:start w:val="1"/>
      <w:numFmt w:val="decimal"/>
      <w:lvlText w:val="%8."/>
      <w:lvlJc w:val="left"/>
      <w:pPr>
        <w:ind w:left="1020" w:hanging="360"/>
      </w:pPr>
    </w:lvl>
    <w:lvl w:ilvl="8" w:tplc="2EB06A22">
      <w:start w:val="1"/>
      <w:numFmt w:val="decimal"/>
      <w:lvlText w:val="%9."/>
      <w:lvlJc w:val="left"/>
      <w:pPr>
        <w:ind w:left="1020" w:hanging="360"/>
      </w:pPr>
    </w:lvl>
  </w:abstractNum>
  <w:abstractNum w:abstractNumId="24" w15:restartNumberingAfterBreak="0">
    <w:nsid w:val="568C71E4"/>
    <w:multiLevelType w:val="hybridMultilevel"/>
    <w:tmpl w:val="056C5354"/>
    <w:lvl w:ilvl="0" w:tplc="4BB4B856">
      <w:start w:val="1"/>
      <w:numFmt w:val="decimal"/>
      <w:lvlText w:val="%1."/>
      <w:lvlJc w:val="left"/>
      <w:pPr>
        <w:ind w:left="1020" w:hanging="360"/>
      </w:pPr>
    </w:lvl>
    <w:lvl w:ilvl="1" w:tplc="69BCBAF0">
      <w:start w:val="1"/>
      <w:numFmt w:val="decimal"/>
      <w:lvlText w:val="%2."/>
      <w:lvlJc w:val="left"/>
      <w:pPr>
        <w:ind w:left="1020" w:hanging="360"/>
      </w:pPr>
    </w:lvl>
    <w:lvl w:ilvl="2" w:tplc="01B25AD6">
      <w:start w:val="1"/>
      <w:numFmt w:val="decimal"/>
      <w:lvlText w:val="%3."/>
      <w:lvlJc w:val="left"/>
      <w:pPr>
        <w:ind w:left="1020" w:hanging="360"/>
      </w:pPr>
    </w:lvl>
    <w:lvl w:ilvl="3" w:tplc="36BA03CC">
      <w:start w:val="1"/>
      <w:numFmt w:val="decimal"/>
      <w:lvlText w:val="%4."/>
      <w:lvlJc w:val="left"/>
      <w:pPr>
        <w:ind w:left="1020" w:hanging="360"/>
      </w:pPr>
    </w:lvl>
    <w:lvl w:ilvl="4" w:tplc="12E88A7A">
      <w:start w:val="1"/>
      <w:numFmt w:val="decimal"/>
      <w:lvlText w:val="%5."/>
      <w:lvlJc w:val="left"/>
      <w:pPr>
        <w:ind w:left="1020" w:hanging="360"/>
      </w:pPr>
    </w:lvl>
    <w:lvl w:ilvl="5" w:tplc="E3B66DF8">
      <w:start w:val="1"/>
      <w:numFmt w:val="decimal"/>
      <w:lvlText w:val="%6."/>
      <w:lvlJc w:val="left"/>
      <w:pPr>
        <w:ind w:left="1020" w:hanging="360"/>
      </w:pPr>
    </w:lvl>
    <w:lvl w:ilvl="6" w:tplc="2D8484E8">
      <w:start w:val="1"/>
      <w:numFmt w:val="decimal"/>
      <w:lvlText w:val="%7."/>
      <w:lvlJc w:val="left"/>
      <w:pPr>
        <w:ind w:left="1020" w:hanging="360"/>
      </w:pPr>
    </w:lvl>
    <w:lvl w:ilvl="7" w:tplc="420E9510">
      <w:start w:val="1"/>
      <w:numFmt w:val="decimal"/>
      <w:lvlText w:val="%8."/>
      <w:lvlJc w:val="left"/>
      <w:pPr>
        <w:ind w:left="1020" w:hanging="360"/>
      </w:pPr>
    </w:lvl>
    <w:lvl w:ilvl="8" w:tplc="F626AC38">
      <w:start w:val="1"/>
      <w:numFmt w:val="decimal"/>
      <w:lvlText w:val="%9."/>
      <w:lvlJc w:val="left"/>
      <w:pPr>
        <w:ind w:left="1020" w:hanging="360"/>
      </w:pPr>
    </w:lvl>
  </w:abstractNum>
  <w:abstractNum w:abstractNumId="25" w15:restartNumberingAfterBreak="0">
    <w:nsid w:val="5855712C"/>
    <w:multiLevelType w:val="hybridMultilevel"/>
    <w:tmpl w:val="0C6AAD0A"/>
    <w:lvl w:ilvl="0" w:tplc="C3984BF6">
      <w:start w:val="1"/>
      <w:numFmt w:val="decimal"/>
      <w:lvlText w:val="%1."/>
      <w:lvlJc w:val="left"/>
      <w:pPr>
        <w:ind w:left="1020" w:hanging="360"/>
      </w:pPr>
    </w:lvl>
    <w:lvl w:ilvl="1" w:tplc="75EC4876">
      <w:start w:val="1"/>
      <w:numFmt w:val="decimal"/>
      <w:lvlText w:val="%2."/>
      <w:lvlJc w:val="left"/>
      <w:pPr>
        <w:ind w:left="1020" w:hanging="360"/>
      </w:pPr>
    </w:lvl>
    <w:lvl w:ilvl="2" w:tplc="6D9C5ADE">
      <w:start w:val="1"/>
      <w:numFmt w:val="decimal"/>
      <w:lvlText w:val="%3."/>
      <w:lvlJc w:val="left"/>
      <w:pPr>
        <w:ind w:left="1020" w:hanging="360"/>
      </w:pPr>
    </w:lvl>
    <w:lvl w:ilvl="3" w:tplc="894A6D58">
      <w:start w:val="1"/>
      <w:numFmt w:val="decimal"/>
      <w:lvlText w:val="%4."/>
      <w:lvlJc w:val="left"/>
      <w:pPr>
        <w:ind w:left="1020" w:hanging="360"/>
      </w:pPr>
    </w:lvl>
    <w:lvl w:ilvl="4" w:tplc="4D2C18EA">
      <w:start w:val="1"/>
      <w:numFmt w:val="decimal"/>
      <w:lvlText w:val="%5."/>
      <w:lvlJc w:val="left"/>
      <w:pPr>
        <w:ind w:left="1020" w:hanging="360"/>
      </w:pPr>
    </w:lvl>
    <w:lvl w:ilvl="5" w:tplc="2ED274DA">
      <w:start w:val="1"/>
      <w:numFmt w:val="decimal"/>
      <w:lvlText w:val="%6."/>
      <w:lvlJc w:val="left"/>
      <w:pPr>
        <w:ind w:left="1020" w:hanging="360"/>
      </w:pPr>
    </w:lvl>
    <w:lvl w:ilvl="6" w:tplc="4F4208AE">
      <w:start w:val="1"/>
      <w:numFmt w:val="decimal"/>
      <w:lvlText w:val="%7."/>
      <w:lvlJc w:val="left"/>
      <w:pPr>
        <w:ind w:left="1020" w:hanging="360"/>
      </w:pPr>
    </w:lvl>
    <w:lvl w:ilvl="7" w:tplc="4FF4A456">
      <w:start w:val="1"/>
      <w:numFmt w:val="decimal"/>
      <w:lvlText w:val="%8."/>
      <w:lvlJc w:val="left"/>
      <w:pPr>
        <w:ind w:left="1020" w:hanging="360"/>
      </w:pPr>
    </w:lvl>
    <w:lvl w:ilvl="8" w:tplc="07907876">
      <w:start w:val="1"/>
      <w:numFmt w:val="decimal"/>
      <w:lvlText w:val="%9."/>
      <w:lvlJc w:val="left"/>
      <w:pPr>
        <w:ind w:left="1020" w:hanging="360"/>
      </w:pPr>
    </w:lvl>
  </w:abstractNum>
  <w:abstractNum w:abstractNumId="26" w15:restartNumberingAfterBreak="0">
    <w:nsid w:val="589335B5"/>
    <w:multiLevelType w:val="hybridMultilevel"/>
    <w:tmpl w:val="2FB46F1C"/>
    <w:lvl w:ilvl="0" w:tplc="0EB81E58">
      <w:start w:val="1"/>
      <w:numFmt w:val="decimal"/>
      <w:lvlText w:val="%1."/>
      <w:lvlJc w:val="left"/>
      <w:pPr>
        <w:ind w:left="1020" w:hanging="360"/>
      </w:pPr>
    </w:lvl>
    <w:lvl w:ilvl="1" w:tplc="82348356">
      <w:start w:val="1"/>
      <w:numFmt w:val="decimal"/>
      <w:lvlText w:val="%2."/>
      <w:lvlJc w:val="left"/>
      <w:pPr>
        <w:ind w:left="1020" w:hanging="360"/>
      </w:pPr>
    </w:lvl>
    <w:lvl w:ilvl="2" w:tplc="0B8C5D92">
      <w:start w:val="1"/>
      <w:numFmt w:val="decimal"/>
      <w:lvlText w:val="%3."/>
      <w:lvlJc w:val="left"/>
      <w:pPr>
        <w:ind w:left="1020" w:hanging="360"/>
      </w:pPr>
    </w:lvl>
    <w:lvl w:ilvl="3" w:tplc="1544328A">
      <w:start w:val="1"/>
      <w:numFmt w:val="decimal"/>
      <w:lvlText w:val="%4."/>
      <w:lvlJc w:val="left"/>
      <w:pPr>
        <w:ind w:left="1020" w:hanging="360"/>
      </w:pPr>
    </w:lvl>
    <w:lvl w:ilvl="4" w:tplc="5B9606D0">
      <w:start w:val="1"/>
      <w:numFmt w:val="decimal"/>
      <w:lvlText w:val="%5."/>
      <w:lvlJc w:val="left"/>
      <w:pPr>
        <w:ind w:left="1020" w:hanging="360"/>
      </w:pPr>
    </w:lvl>
    <w:lvl w:ilvl="5" w:tplc="CD802E08">
      <w:start w:val="1"/>
      <w:numFmt w:val="decimal"/>
      <w:lvlText w:val="%6."/>
      <w:lvlJc w:val="left"/>
      <w:pPr>
        <w:ind w:left="1020" w:hanging="360"/>
      </w:pPr>
    </w:lvl>
    <w:lvl w:ilvl="6" w:tplc="7930B98C">
      <w:start w:val="1"/>
      <w:numFmt w:val="decimal"/>
      <w:lvlText w:val="%7."/>
      <w:lvlJc w:val="left"/>
      <w:pPr>
        <w:ind w:left="1020" w:hanging="360"/>
      </w:pPr>
    </w:lvl>
    <w:lvl w:ilvl="7" w:tplc="9E162B4C">
      <w:start w:val="1"/>
      <w:numFmt w:val="decimal"/>
      <w:lvlText w:val="%8."/>
      <w:lvlJc w:val="left"/>
      <w:pPr>
        <w:ind w:left="1020" w:hanging="360"/>
      </w:pPr>
    </w:lvl>
    <w:lvl w:ilvl="8" w:tplc="6C8CA182">
      <w:start w:val="1"/>
      <w:numFmt w:val="decimal"/>
      <w:lvlText w:val="%9."/>
      <w:lvlJc w:val="left"/>
      <w:pPr>
        <w:ind w:left="1020" w:hanging="360"/>
      </w:pPr>
    </w:lvl>
  </w:abstractNum>
  <w:abstractNum w:abstractNumId="27" w15:restartNumberingAfterBreak="0">
    <w:nsid w:val="5E301FCB"/>
    <w:multiLevelType w:val="hybridMultilevel"/>
    <w:tmpl w:val="A902243C"/>
    <w:lvl w:ilvl="0" w:tplc="7BBE8860">
      <w:start w:val="1"/>
      <w:numFmt w:val="decimal"/>
      <w:lvlText w:val="%1."/>
      <w:lvlJc w:val="left"/>
      <w:pPr>
        <w:ind w:left="1020" w:hanging="360"/>
      </w:pPr>
    </w:lvl>
    <w:lvl w:ilvl="1" w:tplc="540491DA">
      <w:start w:val="1"/>
      <w:numFmt w:val="decimal"/>
      <w:lvlText w:val="%2."/>
      <w:lvlJc w:val="left"/>
      <w:pPr>
        <w:ind w:left="1020" w:hanging="360"/>
      </w:pPr>
    </w:lvl>
    <w:lvl w:ilvl="2" w:tplc="00008062">
      <w:start w:val="1"/>
      <w:numFmt w:val="decimal"/>
      <w:lvlText w:val="%3."/>
      <w:lvlJc w:val="left"/>
      <w:pPr>
        <w:ind w:left="1020" w:hanging="360"/>
      </w:pPr>
    </w:lvl>
    <w:lvl w:ilvl="3" w:tplc="D37A7C1A">
      <w:start w:val="1"/>
      <w:numFmt w:val="decimal"/>
      <w:lvlText w:val="%4."/>
      <w:lvlJc w:val="left"/>
      <w:pPr>
        <w:ind w:left="1020" w:hanging="360"/>
      </w:pPr>
    </w:lvl>
    <w:lvl w:ilvl="4" w:tplc="7E60B4A0">
      <w:start w:val="1"/>
      <w:numFmt w:val="decimal"/>
      <w:lvlText w:val="%5."/>
      <w:lvlJc w:val="left"/>
      <w:pPr>
        <w:ind w:left="1020" w:hanging="360"/>
      </w:pPr>
    </w:lvl>
    <w:lvl w:ilvl="5" w:tplc="0552591A">
      <w:start w:val="1"/>
      <w:numFmt w:val="decimal"/>
      <w:lvlText w:val="%6."/>
      <w:lvlJc w:val="left"/>
      <w:pPr>
        <w:ind w:left="1020" w:hanging="360"/>
      </w:pPr>
    </w:lvl>
    <w:lvl w:ilvl="6" w:tplc="CA4A1E10">
      <w:start w:val="1"/>
      <w:numFmt w:val="decimal"/>
      <w:lvlText w:val="%7."/>
      <w:lvlJc w:val="left"/>
      <w:pPr>
        <w:ind w:left="1020" w:hanging="360"/>
      </w:pPr>
    </w:lvl>
    <w:lvl w:ilvl="7" w:tplc="B748EB52">
      <w:start w:val="1"/>
      <w:numFmt w:val="decimal"/>
      <w:lvlText w:val="%8."/>
      <w:lvlJc w:val="left"/>
      <w:pPr>
        <w:ind w:left="1020" w:hanging="360"/>
      </w:pPr>
    </w:lvl>
    <w:lvl w:ilvl="8" w:tplc="60C27668">
      <w:start w:val="1"/>
      <w:numFmt w:val="decimal"/>
      <w:lvlText w:val="%9."/>
      <w:lvlJc w:val="left"/>
      <w:pPr>
        <w:ind w:left="1020" w:hanging="360"/>
      </w:pPr>
    </w:lvl>
  </w:abstractNum>
  <w:abstractNum w:abstractNumId="28" w15:restartNumberingAfterBreak="0">
    <w:nsid w:val="5EBA62DE"/>
    <w:multiLevelType w:val="hybridMultilevel"/>
    <w:tmpl w:val="764232BA"/>
    <w:lvl w:ilvl="0" w:tplc="78F85A2A">
      <w:start w:val="1"/>
      <w:numFmt w:val="decimal"/>
      <w:lvlText w:val="%1."/>
      <w:lvlJc w:val="left"/>
      <w:pPr>
        <w:ind w:left="1020" w:hanging="360"/>
      </w:pPr>
    </w:lvl>
    <w:lvl w:ilvl="1" w:tplc="602E642A">
      <w:start w:val="1"/>
      <w:numFmt w:val="decimal"/>
      <w:lvlText w:val="%2."/>
      <w:lvlJc w:val="left"/>
      <w:pPr>
        <w:ind w:left="1020" w:hanging="360"/>
      </w:pPr>
    </w:lvl>
    <w:lvl w:ilvl="2" w:tplc="0212A742">
      <w:start w:val="1"/>
      <w:numFmt w:val="decimal"/>
      <w:lvlText w:val="%3."/>
      <w:lvlJc w:val="left"/>
      <w:pPr>
        <w:ind w:left="1020" w:hanging="360"/>
      </w:pPr>
    </w:lvl>
    <w:lvl w:ilvl="3" w:tplc="FF96C564">
      <w:start w:val="1"/>
      <w:numFmt w:val="decimal"/>
      <w:lvlText w:val="%4."/>
      <w:lvlJc w:val="left"/>
      <w:pPr>
        <w:ind w:left="1020" w:hanging="360"/>
      </w:pPr>
    </w:lvl>
    <w:lvl w:ilvl="4" w:tplc="0FAA69D4">
      <w:start w:val="1"/>
      <w:numFmt w:val="decimal"/>
      <w:lvlText w:val="%5."/>
      <w:lvlJc w:val="left"/>
      <w:pPr>
        <w:ind w:left="1020" w:hanging="360"/>
      </w:pPr>
    </w:lvl>
    <w:lvl w:ilvl="5" w:tplc="59F6B4CE">
      <w:start w:val="1"/>
      <w:numFmt w:val="decimal"/>
      <w:lvlText w:val="%6."/>
      <w:lvlJc w:val="left"/>
      <w:pPr>
        <w:ind w:left="1020" w:hanging="360"/>
      </w:pPr>
    </w:lvl>
    <w:lvl w:ilvl="6" w:tplc="E2845E10">
      <w:start w:val="1"/>
      <w:numFmt w:val="decimal"/>
      <w:lvlText w:val="%7."/>
      <w:lvlJc w:val="left"/>
      <w:pPr>
        <w:ind w:left="1020" w:hanging="360"/>
      </w:pPr>
    </w:lvl>
    <w:lvl w:ilvl="7" w:tplc="E3747608">
      <w:start w:val="1"/>
      <w:numFmt w:val="decimal"/>
      <w:lvlText w:val="%8."/>
      <w:lvlJc w:val="left"/>
      <w:pPr>
        <w:ind w:left="1020" w:hanging="360"/>
      </w:pPr>
    </w:lvl>
    <w:lvl w:ilvl="8" w:tplc="753C16F4">
      <w:start w:val="1"/>
      <w:numFmt w:val="decimal"/>
      <w:lvlText w:val="%9."/>
      <w:lvlJc w:val="left"/>
      <w:pPr>
        <w:ind w:left="1020" w:hanging="360"/>
      </w:pPr>
    </w:lvl>
  </w:abstractNum>
  <w:abstractNum w:abstractNumId="29" w15:restartNumberingAfterBreak="0">
    <w:nsid w:val="60A32354"/>
    <w:multiLevelType w:val="hybridMultilevel"/>
    <w:tmpl w:val="FD64A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A46BE3"/>
    <w:multiLevelType w:val="hybridMultilevel"/>
    <w:tmpl w:val="740C54A0"/>
    <w:lvl w:ilvl="0" w:tplc="F84ABF26">
      <w:start w:val="1"/>
      <w:numFmt w:val="decimal"/>
      <w:lvlText w:val="%1."/>
      <w:lvlJc w:val="left"/>
      <w:pPr>
        <w:ind w:left="1020" w:hanging="360"/>
      </w:pPr>
    </w:lvl>
    <w:lvl w:ilvl="1" w:tplc="B192CB10">
      <w:start w:val="1"/>
      <w:numFmt w:val="decimal"/>
      <w:lvlText w:val="%2."/>
      <w:lvlJc w:val="left"/>
      <w:pPr>
        <w:ind w:left="1020" w:hanging="360"/>
      </w:pPr>
    </w:lvl>
    <w:lvl w:ilvl="2" w:tplc="BA469868">
      <w:start w:val="1"/>
      <w:numFmt w:val="decimal"/>
      <w:lvlText w:val="%3."/>
      <w:lvlJc w:val="left"/>
      <w:pPr>
        <w:ind w:left="1020" w:hanging="360"/>
      </w:pPr>
    </w:lvl>
    <w:lvl w:ilvl="3" w:tplc="63C02A50">
      <w:start w:val="1"/>
      <w:numFmt w:val="decimal"/>
      <w:lvlText w:val="%4."/>
      <w:lvlJc w:val="left"/>
      <w:pPr>
        <w:ind w:left="1020" w:hanging="360"/>
      </w:pPr>
    </w:lvl>
    <w:lvl w:ilvl="4" w:tplc="95E4EE28">
      <w:start w:val="1"/>
      <w:numFmt w:val="decimal"/>
      <w:lvlText w:val="%5."/>
      <w:lvlJc w:val="left"/>
      <w:pPr>
        <w:ind w:left="1020" w:hanging="360"/>
      </w:pPr>
    </w:lvl>
    <w:lvl w:ilvl="5" w:tplc="1C765AEE">
      <w:start w:val="1"/>
      <w:numFmt w:val="decimal"/>
      <w:lvlText w:val="%6."/>
      <w:lvlJc w:val="left"/>
      <w:pPr>
        <w:ind w:left="1020" w:hanging="360"/>
      </w:pPr>
    </w:lvl>
    <w:lvl w:ilvl="6" w:tplc="B4E43F20">
      <w:start w:val="1"/>
      <w:numFmt w:val="decimal"/>
      <w:lvlText w:val="%7."/>
      <w:lvlJc w:val="left"/>
      <w:pPr>
        <w:ind w:left="1020" w:hanging="360"/>
      </w:pPr>
    </w:lvl>
    <w:lvl w:ilvl="7" w:tplc="41FA8156">
      <w:start w:val="1"/>
      <w:numFmt w:val="decimal"/>
      <w:lvlText w:val="%8."/>
      <w:lvlJc w:val="left"/>
      <w:pPr>
        <w:ind w:left="1020" w:hanging="360"/>
      </w:pPr>
    </w:lvl>
    <w:lvl w:ilvl="8" w:tplc="43EACEAC">
      <w:start w:val="1"/>
      <w:numFmt w:val="decimal"/>
      <w:lvlText w:val="%9."/>
      <w:lvlJc w:val="left"/>
      <w:pPr>
        <w:ind w:left="1020" w:hanging="360"/>
      </w:pPr>
    </w:lvl>
  </w:abstractNum>
  <w:abstractNum w:abstractNumId="31" w15:restartNumberingAfterBreak="0">
    <w:nsid w:val="6AC67DD5"/>
    <w:multiLevelType w:val="hybridMultilevel"/>
    <w:tmpl w:val="6BAE69D2"/>
    <w:lvl w:ilvl="0" w:tplc="25C68F8C">
      <w:start w:val="1"/>
      <w:numFmt w:val="decimal"/>
      <w:lvlText w:val="%1."/>
      <w:lvlJc w:val="left"/>
      <w:pPr>
        <w:ind w:left="1020" w:hanging="360"/>
      </w:pPr>
    </w:lvl>
    <w:lvl w:ilvl="1" w:tplc="5DF28FA0">
      <w:start w:val="1"/>
      <w:numFmt w:val="decimal"/>
      <w:lvlText w:val="%2."/>
      <w:lvlJc w:val="left"/>
      <w:pPr>
        <w:ind w:left="1020" w:hanging="360"/>
      </w:pPr>
    </w:lvl>
    <w:lvl w:ilvl="2" w:tplc="90B61BFE">
      <w:start w:val="1"/>
      <w:numFmt w:val="decimal"/>
      <w:lvlText w:val="%3."/>
      <w:lvlJc w:val="left"/>
      <w:pPr>
        <w:ind w:left="1020" w:hanging="360"/>
      </w:pPr>
    </w:lvl>
    <w:lvl w:ilvl="3" w:tplc="2FD68B20">
      <w:start w:val="1"/>
      <w:numFmt w:val="decimal"/>
      <w:lvlText w:val="%4."/>
      <w:lvlJc w:val="left"/>
      <w:pPr>
        <w:ind w:left="1020" w:hanging="360"/>
      </w:pPr>
    </w:lvl>
    <w:lvl w:ilvl="4" w:tplc="CA08095C">
      <w:start w:val="1"/>
      <w:numFmt w:val="decimal"/>
      <w:lvlText w:val="%5."/>
      <w:lvlJc w:val="left"/>
      <w:pPr>
        <w:ind w:left="1020" w:hanging="360"/>
      </w:pPr>
    </w:lvl>
    <w:lvl w:ilvl="5" w:tplc="5D285518">
      <w:start w:val="1"/>
      <w:numFmt w:val="decimal"/>
      <w:lvlText w:val="%6."/>
      <w:lvlJc w:val="left"/>
      <w:pPr>
        <w:ind w:left="1020" w:hanging="360"/>
      </w:pPr>
    </w:lvl>
    <w:lvl w:ilvl="6" w:tplc="D2E2C26C">
      <w:start w:val="1"/>
      <w:numFmt w:val="decimal"/>
      <w:lvlText w:val="%7."/>
      <w:lvlJc w:val="left"/>
      <w:pPr>
        <w:ind w:left="1020" w:hanging="360"/>
      </w:pPr>
    </w:lvl>
    <w:lvl w:ilvl="7" w:tplc="6300935C">
      <w:start w:val="1"/>
      <w:numFmt w:val="decimal"/>
      <w:lvlText w:val="%8."/>
      <w:lvlJc w:val="left"/>
      <w:pPr>
        <w:ind w:left="1020" w:hanging="360"/>
      </w:pPr>
    </w:lvl>
    <w:lvl w:ilvl="8" w:tplc="D8B4F38E">
      <w:start w:val="1"/>
      <w:numFmt w:val="decimal"/>
      <w:lvlText w:val="%9."/>
      <w:lvlJc w:val="left"/>
      <w:pPr>
        <w:ind w:left="1020" w:hanging="360"/>
      </w:pPr>
    </w:lvl>
  </w:abstractNum>
  <w:abstractNum w:abstractNumId="32" w15:restartNumberingAfterBreak="0">
    <w:nsid w:val="720458D3"/>
    <w:multiLevelType w:val="hybridMultilevel"/>
    <w:tmpl w:val="DA06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30C42"/>
    <w:multiLevelType w:val="hybridMultilevel"/>
    <w:tmpl w:val="CCB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174A9"/>
    <w:multiLevelType w:val="hybridMultilevel"/>
    <w:tmpl w:val="9CC2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312230">
    <w:abstractNumId w:val="4"/>
  </w:num>
  <w:num w:numId="2" w16cid:durableId="1268582104">
    <w:abstractNumId w:val="32"/>
  </w:num>
  <w:num w:numId="3" w16cid:durableId="767966499">
    <w:abstractNumId w:val="13"/>
  </w:num>
  <w:num w:numId="4" w16cid:durableId="637075825">
    <w:abstractNumId w:val="19"/>
  </w:num>
  <w:num w:numId="5" w16cid:durableId="2023510930">
    <w:abstractNumId w:val="12"/>
  </w:num>
  <w:num w:numId="6" w16cid:durableId="1671986729">
    <w:abstractNumId w:val="15"/>
  </w:num>
  <w:num w:numId="7" w16cid:durableId="1861356815">
    <w:abstractNumId w:val="18"/>
  </w:num>
  <w:num w:numId="8" w16cid:durableId="1118722243">
    <w:abstractNumId w:val="34"/>
  </w:num>
  <w:num w:numId="9" w16cid:durableId="1545822952">
    <w:abstractNumId w:val="14"/>
  </w:num>
  <w:num w:numId="10" w16cid:durableId="299657009">
    <w:abstractNumId w:val="8"/>
  </w:num>
  <w:num w:numId="11" w16cid:durableId="740100498">
    <w:abstractNumId w:val="7"/>
  </w:num>
  <w:num w:numId="12" w16cid:durableId="2007516909">
    <w:abstractNumId w:val="17"/>
  </w:num>
  <w:num w:numId="13" w16cid:durableId="1950889328">
    <w:abstractNumId w:val="16"/>
  </w:num>
  <w:num w:numId="14" w16cid:durableId="2102558417">
    <w:abstractNumId w:val="0"/>
  </w:num>
  <w:num w:numId="15" w16cid:durableId="321663809">
    <w:abstractNumId w:val="20"/>
  </w:num>
  <w:num w:numId="16" w16cid:durableId="1008481058">
    <w:abstractNumId w:val="11"/>
  </w:num>
  <w:num w:numId="17" w16cid:durableId="1161192124">
    <w:abstractNumId w:val="29"/>
  </w:num>
  <w:num w:numId="18" w16cid:durableId="1319462542">
    <w:abstractNumId w:val="33"/>
  </w:num>
  <w:num w:numId="19" w16cid:durableId="490365812">
    <w:abstractNumId w:val="9"/>
  </w:num>
  <w:num w:numId="20" w16cid:durableId="124658921">
    <w:abstractNumId w:val="5"/>
  </w:num>
  <w:num w:numId="21" w16cid:durableId="467672986">
    <w:abstractNumId w:val="3"/>
  </w:num>
  <w:num w:numId="22" w16cid:durableId="1024556892">
    <w:abstractNumId w:val="22"/>
  </w:num>
  <w:num w:numId="23" w16cid:durableId="688137967">
    <w:abstractNumId w:val="1"/>
  </w:num>
  <w:num w:numId="24" w16cid:durableId="534198584">
    <w:abstractNumId w:val="2"/>
  </w:num>
  <w:num w:numId="25" w16cid:durableId="708607468">
    <w:abstractNumId w:val="27"/>
  </w:num>
  <w:num w:numId="26" w16cid:durableId="945237810">
    <w:abstractNumId w:val="23"/>
  </w:num>
  <w:num w:numId="27" w16cid:durableId="1929999447">
    <w:abstractNumId w:val="6"/>
  </w:num>
  <w:num w:numId="28" w16cid:durableId="595678455">
    <w:abstractNumId w:val="10"/>
  </w:num>
  <w:num w:numId="29" w16cid:durableId="1321810783">
    <w:abstractNumId w:val="28"/>
  </w:num>
  <w:num w:numId="30" w16cid:durableId="951522803">
    <w:abstractNumId w:val="25"/>
  </w:num>
  <w:num w:numId="31" w16cid:durableId="582449978">
    <w:abstractNumId w:val="26"/>
  </w:num>
  <w:num w:numId="32" w16cid:durableId="706221763">
    <w:abstractNumId w:val="30"/>
  </w:num>
  <w:num w:numId="33" w16cid:durableId="2039046660">
    <w:abstractNumId w:val="24"/>
  </w:num>
  <w:num w:numId="34" w16cid:durableId="1598832048">
    <w:abstractNumId w:val="31"/>
  </w:num>
  <w:num w:numId="35" w16cid:durableId="175080949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42D"/>
    <w:rsid w:val="00004062"/>
    <w:rsid w:val="0001179F"/>
    <w:rsid w:val="000176E1"/>
    <w:rsid w:val="00023762"/>
    <w:rsid w:val="00025A0D"/>
    <w:rsid w:val="0004259C"/>
    <w:rsid w:val="00062C9B"/>
    <w:rsid w:val="00072DB9"/>
    <w:rsid w:val="000746B0"/>
    <w:rsid w:val="000855B6"/>
    <w:rsid w:val="00087CB8"/>
    <w:rsid w:val="0009186B"/>
    <w:rsid w:val="000A558E"/>
    <w:rsid w:val="000A6DDD"/>
    <w:rsid w:val="000B1586"/>
    <w:rsid w:val="000B4264"/>
    <w:rsid w:val="000B65E3"/>
    <w:rsid w:val="000E0039"/>
    <w:rsid w:val="000F6B70"/>
    <w:rsid w:val="00107C77"/>
    <w:rsid w:val="001109BB"/>
    <w:rsid w:val="00114873"/>
    <w:rsid w:val="00115BA9"/>
    <w:rsid w:val="0012445B"/>
    <w:rsid w:val="001313FF"/>
    <w:rsid w:val="00143F5A"/>
    <w:rsid w:val="0014764F"/>
    <w:rsid w:val="001509E8"/>
    <w:rsid w:val="00152A35"/>
    <w:rsid w:val="00153973"/>
    <w:rsid w:val="00157BD6"/>
    <w:rsid w:val="00162CBC"/>
    <w:rsid w:val="00180909"/>
    <w:rsid w:val="00181396"/>
    <w:rsid w:val="0018430F"/>
    <w:rsid w:val="00185BD9"/>
    <w:rsid w:val="00192C5B"/>
    <w:rsid w:val="001933AF"/>
    <w:rsid w:val="0019747C"/>
    <w:rsid w:val="0019776A"/>
    <w:rsid w:val="001B79F8"/>
    <w:rsid w:val="001C7B73"/>
    <w:rsid w:val="001D2B19"/>
    <w:rsid w:val="001D3EE7"/>
    <w:rsid w:val="001D48BB"/>
    <w:rsid w:val="001E0CBC"/>
    <w:rsid w:val="001F2361"/>
    <w:rsid w:val="001F79EB"/>
    <w:rsid w:val="00202C53"/>
    <w:rsid w:val="002052CC"/>
    <w:rsid w:val="0021247E"/>
    <w:rsid w:val="00224564"/>
    <w:rsid w:val="002370E1"/>
    <w:rsid w:val="002445ED"/>
    <w:rsid w:val="00245DC0"/>
    <w:rsid w:val="00256618"/>
    <w:rsid w:val="0027326C"/>
    <w:rsid w:val="00274317"/>
    <w:rsid w:val="00282DE1"/>
    <w:rsid w:val="002A6F5A"/>
    <w:rsid w:val="002A7724"/>
    <w:rsid w:val="002A7CBA"/>
    <w:rsid w:val="002B16A8"/>
    <w:rsid w:val="002B2D90"/>
    <w:rsid w:val="002B351B"/>
    <w:rsid w:val="002B54E6"/>
    <w:rsid w:val="002B7AC5"/>
    <w:rsid w:val="002C0AF7"/>
    <w:rsid w:val="002C5DA5"/>
    <w:rsid w:val="002D0355"/>
    <w:rsid w:val="002E709E"/>
    <w:rsid w:val="003108AF"/>
    <w:rsid w:val="00314F22"/>
    <w:rsid w:val="00315048"/>
    <w:rsid w:val="0031701B"/>
    <w:rsid w:val="00317305"/>
    <w:rsid w:val="00327CC9"/>
    <w:rsid w:val="003331AF"/>
    <w:rsid w:val="003336F6"/>
    <w:rsid w:val="00352E9A"/>
    <w:rsid w:val="00360D44"/>
    <w:rsid w:val="0036347D"/>
    <w:rsid w:val="003727FB"/>
    <w:rsid w:val="00382D08"/>
    <w:rsid w:val="0038318C"/>
    <w:rsid w:val="003868C4"/>
    <w:rsid w:val="00393B91"/>
    <w:rsid w:val="0039781E"/>
    <w:rsid w:val="003C4B1B"/>
    <w:rsid w:val="003C78D9"/>
    <w:rsid w:val="003D60DD"/>
    <w:rsid w:val="003E1932"/>
    <w:rsid w:val="003F4CDD"/>
    <w:rsid w:val="003F57C9"/>
    <w:rsid w:val="004425B8"/>
    <w:rsid w:val="00447725"/>
    <w:rsid w:val="004675EA"/>
    <w:rsid w:val="0048236F"/>
    <w:rsid w:val="0048684E"/>
    <w:rsid w:val="004A5291"/>
    <w:rsid w:val="004A59C3"/>
    <w:rsid w:val="004A75E3"/>
    <w:rsid w:val="004B1DE0"/>
    <w:rsid w:val="004B78ED"/>
    <w:rsid w:val="004D1737"/>
    <w:rsid w:val="004E2D24"/>
    <w:rsid w:val="004E4F24"/>
    <w:rsid w:val="004F2E1F"/>
    <w:rsid w:val="004F426C"/>
    <w:rsid w:val="00500192"/>
    <w:rsid w:val="00511EAD"/>
    <w:rsid w:val="00512DA1"/>
    <w:rsid w:val="005203E2"/>
    <w:rsid w:val="00520F4A"/>
    <w:rsid w:val="005370B0"/>
    <w:rsid w:val="0053710B"/>
    <w:rsid w:val="00556EF9"/>
    <w:rsid w:val="00563AE0"/>
    <w:rsid w:val="0057387A"/>
    <w:rsid w:val="00574C78"/>
    <w:rsid w:val="005761A8"/>
    <w:rsid w:val="005830D0"/>
    <w:rsid w:val="005A1E96"/>
    <w:rsid w:val="005A3F49"/>
    <w:rsid w:val="005C1B32"/>
    <w:rsid w:val="005C62F6"/>
    <w:rsid w:val="005D5341"/>
    <w:rsid w:val="005E2015"/>
    <w:rsid w:val="005E2297"/>
    <w:rsid w:val="005F594F"/>
    <w:rsid w:val="00605B46"/>
    <w:rsid w:val="00616702"/>
    <w:rsid w:val="0063004D"/>
    <w:rsid w:val="00634723"/>
    <w:rsid w:val="0063714A"/>
    <w:rsid w:val="00650485"/>
    <w:rsid w:val="006504D9"/>
    <w:rsid w:val="00664365"/>
    <w:rsid w:val="006725FC"/>
    <w:rsid w:val="006756EF"/>
    <w:rsid w:val="00676196"/>
    <w:rsid w:val="00682950"/>
    <w:rsid w:val="0068373C"/>
    <w:rsid w:val="006856D9"/>
    <w:rsid w:val="00696933"/>
    <w:rsid w:val="006A5F94"/>
    <w:rsid w:val="006A6777"/>
    <w:rsid w:val="006B4560"/>
    <w:rsid w:val="006C198A"/>
    <w:rsid w:val="006C2365"/>
    <w:rsid w:val="006D68F5"/>
    <w:rsid w:val="006E5840"/>
    <w:rsid w:val="006F0BDD"/>
    <w:rsid w:val="006F5809"/>
    <w:rsid w:val="00711823"/>
    <w:rsid w:val="00715C11"/>
    <w:rsid w:val="007171D4"/>
    <w:rsid w:val="00721CE7"/>
    <w:rsid w:val="007420C4"/>
    <w:rsid w:val="007558F4"/>
    <w:rsid w:val="007658DF"/>
    <w:rsid w:val="00765D1A"/>
    <w:rsid w:val="00775915"/>
    <w:rsid w:val="0078713F"/>
    <w:rsid w:val="007A2732"/>
    <w:rsid w:val="007A4EB6"/>
    <w:rsid w:val="007B0AB2"/>
    <w:rsid w:val="007B49C0"/>
    <w:rsid w:val="007C56B3"/>
    <w:rsid w:val="007D44B7"/>
    <w:rsid w:val="007D6A5F"/>
    <w:rsid w:val="007E53B0"/>
    <w:rsid w:val="00803F7E"/>
    <w:rsid w:val="00804D85"/>
    <w:rsid w:val="00817E39"/>
    <w:rsid w:val="0083547F"/>
    <w:rsid w:val="00836B51"/>
    <w:rsid w:val="00837D55"/>
    <w:rsid w:val="00840BF8"/>
    <w:rsid w:val="00842E37"/>
    <w:rsid w:val="00853134"/>
    <w:rsid w:val="00856A5E"/>
    <w:rsid w:val="0086287C"/>
    <w:rsid w:val="008677E0"/>
    <w:rsid w:val="0087085C"/>
    <w:rsid w:val="00877521"/>
    <w:rsid w:val="0088163E"/>
    <w:rsid w:val="00882CC7"/>
    <w:rsid w:val="00884ABF"/>
    <w:rsid w:val="008A27E7"/>
    <w:rsid w:val="008C6B0E"/>
    <w:rsid w:val="008D3C20"/>
    <w:rsid w:val="008D4C4C"/>
    <w:rsid w:val="008D4DC8"/>
    <w:rsid w:val="008E054B"/>
    <w:rsid w:val="008E535D"/>
    <w:rsid w:val="008E631F"/>
    <w:rsid w:val="008F157F"/>
    <w:rsid w:val="008F3935"/>
    <w:rsid w:val="008F4B76"/>
    <w:rsid w:val="008F54ED"/>
    <w:rsid w:val="0091069B"/>
    <w:rsid w:val="00911CB2"/>
    <w:rsid w:val="00912F6B"/>
    <w:rsid w:val="0093281B"/>
    <w:rsid w:val="009343D2"/>
    <w:rsid w:val="009348B4"/>
    <w:rsid w:val="00934EC2"/>
    <w:rsid w:val="00945B99"/>
    <w:rsid w:val="00952690"/>
    <w:rsid w:val="00965C4F"/>
    <w:rsid w:val="009733DD"/>
    <w:rsid w:val="00984A9A"/>
    <w:rsid w:val="009862E9"/>
    <w:rsid w:val="00990980"/>
    <w:rsid w:val="00995D84"/>
    <w:rsid w:val="0099617C"/>
    <w:rsid w:val="009A4C39"/>
    <w:rsid w:val="009A5307"/>
    <w:rsid w:val="009B1B50"/>
    <w:rsid w:val="009B7F01"/>
    <w:rsid w:val="009C498B"/>
    <w:rsid w:val="009D280E"/>
    <w:rsid w:val="009F5135"/>
    <w:rsid w:val="00A31A58"/>
    <w:rsid w:val="00A36E83"/>
    <w:rsid w:val="00A562E1"/>
    <w:rsid w:val="00A65879"/>
    <w:rsid w:val="00A73F3A"/>
    <w:rsid w:val="00A828C4"/>
    <w:rsid w:val="00A9089F"/>
    <w:rsid w:val="00A920CC"/>
    <w:rsid w:val="00A9561D"/>
    <w:rsid w:val="00AA0ED3"/>
    <w:rsid w:val="00AA6AF3"/>
    <w:rsid w:val="00AB1A8B"/>
    <w:rsid w:val="00AB1A8E"/>
    <w:rsid w:val="00AD03A9"/>
    <w:rsid w:val="00AE5E33"/>
    <w:rsid w:val="00AE5EC9"/>
    <w:rsid w:val="00AE7747"/>
    <w:rsid w:val="00AF1F7E"/>
    <w:rsid w:val="00AF6D5F"/>
    <w:rsid w:val="00B0288B"/>
    <w:rsid w:val="00B10884"/>
    <w:rsid w:val="00B2050D"/>
    <w:rsid w:val="00B23FBE"/>
    <w:rsid w:val="00B26BE3"/>
    <w:rsid w:val="00B3118A"/>
    <w:rsid w:val="00B36E35"/>
    <w:rsid w:val="00B3721D"/>
    <w:rsid w:val="00B43E3D"/>
    <w:rsid w:val="00B4439A"/>
    <w:rsid w:val="00B446A9"/>
    <w:rsid w:val="00B459F0"/>
    <w:rsid w:val="00B478F3"/>
    <w:rsid w:val="00B76967"/>
    <w:rsid w:val="00B97CF8"/>
    <w:rsid w:val="00BA1998"/>
    <w:rsid w:val="00BA58E9"/>
    <w:rsid w:val="00BA5931"/>
    <w:rsid w:val="00BB4EDE"/>
    <w:rsid w:val="00BC1E1B"/>
    <w:rsid w:val="00BC3B00"/>
    <w:rsid w:val="00BC50F2"/>
    <w:rsid w:val="00BC526A"/>
    <w:rsid w:val="00BD29ED"/>
    <w:rsid w:val="00BD551A"/>
    <w:rsid w:val="00BE044A"/>
    <w:rsid w:val="00BF1335"/>
    <w:rsid w:val="00BF1A5F"/>
    <w:rsid w:val="00C03EDC"/>
    <w:rsid w:val="00C10B1F"/>
    <w:rsid w:val="00C1242D"/>
    <w:rsid w:val="00C1702E"/>
    <w:rsid w:val="00C21096"/>
    <w:rsid w:val="00C2618C"/>
    <w:rsid w:val="00C36B1A"/>
    <w:rsid w:val="00C42599"/>
    <w:rsid w:val="00C4694E"/>
    <w:rsid w:val="00C6100C"/>
    <w:rsid w:val="00C63BAA"/>
    <w:rsid w:val="00C66A3F"/>
    <w:rsid w:val="00C7084C"/>
    <w:rsid w:val="00C83BDE"/>
    <w:rsid w:val="00C84485"/>
    <w:rsid w:val="00C84586"/>
    <w:rsid w:val="00C902A6"/>
    <w:rsid w:val="00CB6797"/>
    <w:rsid w:val="00CB757D"/>
    <w:rsid w:val="00CD11D8"/>
    <w:rsid w:val="00CD1CE4"/>
    <w:rsid w:val="00CD4F21"/>
    <w:rsid w:val="00CD526B"/>
    <w:rsid w:val="00CD6A99"/>
    <w:rsid w:val="00CE5F78"/>
    <w:rsid w:val="00CE6F38"/>
    <w:rsid w:val="00CF04B3"/>
    <w:rsid w:val="00CF43BC"/>
    <w:rsid w:val="00D01652"/>
    <w:rsid w:val="00D12AE7"/>
    <w:rsid w:val="00D21F24"/>
    <w:rsid w:val="00D23D44"/>
    <w:rsid w:val="00D32F23"/>
    <w:rsid w:val="00D44CAA"/>
    <w:rsid w:val="00D5232D"/>
    <w:rsid w:val="00D55641"/>
    <w:rsid w:val="00D663D3"/>
    <w:rsid w:val="00D6772F"/>
    <w:rsid w:val="00D745D0"/>
    <w:rsid w:val="00D820D5"/>
    <w:rsid w:val="00D8384B"/>
    <w:rsid w:val="00D95829"/>
    <w:rsid w:val="00DA6D17"/>
    <w:rsid w:val="00DA7C96"/>
    <w:rsid w:val="00DB0622"/>
    <w:rsid w:val="00DB1D22"/>
    <w:rsid w:val="00DB70BB"/>
    <w:rsid w:val="00DD3978"/>
    <w:rsid w:val="00DD4E88"/>
    <w:rsid w:val="00DE1BA2"/>
    <w:rsid w:val="00DE3123"/>
    <w:rsid w:val="00DF1EF5"/>
    <w:rsid w:val="00DF3A50"/>
    <w:rsid w:val="00DF7421"/>
    <w:rsid w:val="00E0019A"/>
    <w:rsid w:val="00E01061"/>
    <w:rsid w:val="00E01233"/>
    <w:rsid w:val="00E02FB1"/>
    <w:rsid w:val="00E0321B"/>
    <w:rsid w:val="00E22432"/>
    <w:rsid w:val="00E32DE0"/>
    <w:rsid w:val="00E32FEB"/>
    <w:rsid w:val="00E6203D"/>
    <w:rsid w:val="00E642FE"/>
    <w:rsid w:val="00E752E5"/>
    <w:rsid w:val="00E7676B"/>
    <w:rsid w:val="00E849CA"/>
    <w:rsid w:val="00E8762C"/>
    <w:rsid w:val="00E922FD"/>
    <w:rsid w:val="00E92B77"/>
    <w:rsid w:val="00E93057"/>
    <w:rsid w:val="00E94927"/>
    <w:rsid w:val="00E9775C"/>
    <w:rsid w:val="00EA2AA0"/>
    <w:rsid w:val="00EA6642"/>
    <w:rsid w:val="00EA7BCD"/>
    <w:rsid w:val="00EB25C4"/>
    <w:rsid w:val="00EB74AF"/>
    <w:rsid w:val="00EC38A3"/>
    <w:rsid w:val="00ED0499"/>
    <w:rsid w:val="00ED7295"/>
    <w:rsid w:val="00EE57D2"/>
    <w:rsid w:val="00EE6198"/>
    <w:rsid w:val="00EE7A11"/>
    <w:rsid w:val="00EF0B25"/>
    <w:rsid w:val="00EF1A62"/>
    <w:rsid w:val="00EF567E"/>
    <w:rsid w:val="00F010CB"/>
    <w:rsid w:val="00F03C67"/>
    <w:rsid w:val="00F10865"/>
    <w:rsid w:val="00F22181"/>
    <w:rsid w:val="00F256C3"/>
    <w:rsid w:val="00F336D8"/>
    <w:rsid w:val="00F44B73"/>
    <w:rsid w:val="00F61A51"/>
    <w:rsid w:val="00F61BDB"/>
    <w:rsid w:val="00F7366A"/>
    <w:rsid w:val="00F73E6B"/>
    <w:rsid w:val="00F7487D"/>
    <w:rsid w:val="00F81772"/>
    <w:rsid w:val="00F92CF7"/>
    <w:rsid w:val="00F94B95"/>
    <w:rsid w:val="00FA28E4"/>
    <w:rsid w:val="00FA4360"/>
    <w:rsid w:val="00FA5746"/>
    <w:rsid w:val="00FA69C4"/>
    <w:rsid w:val="00FB7E01"/>
    <w:rsid w:val="00FC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FA3E"/>
  <w15:chartTrackingRefBased/>
  <w15:docId w15:val="{3B41DAA7-A2B6-4019-A458-1A5C50B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618C"/>
    <w:rPr>
      <w:sz w:val="16"/>
      <w:szCs w:val="16"/>
    </w:rPr>
  </w:style>
  <w:style w:type="paragraph" w:styleId="CommentText">
    <w:name w:val="annotation text"/>
    <w:basedOn w:val="Normal"/>
    <w:link w:val="CommentTextChar"/>
    <w:uiPriority w:val="99"/>
    <w:unhideWhenUsed/>
    <w:rsid w:val="00C2618C"/>
    <w:pPr>
      <w:spacing w:line="240" w:lineRule="auto"/>
    </w:pPr>
    <w:rPr>
      <w:sz w:val="20"/>
      <w:szCs w:val="20"/>
    </w:rPr>
  </w:style>
  <w:style w:type="character" w:customStyle="1" w:styleId="CommentTextChar">
    <w:name w:val="Comment Text Char"/>
    <w:basedOn w:val="DefaultParagraphFont"/>
    <w:link w:val="CommentText"/>
    <w:uiPriority w:val="99"/>
    <w:rsid w:val="00C2618C"/>
    <w:rPr>
      <w:sz w:val="20"/>
      <w:szCs w:val="20"/>
    </w:rPr>
  </w:style>
  <w:style w:type="paragraph" w:styleId="CommentSubject">
    <w:name w:val="annotation subject"/>
    <w:basedOn w:val="CommentText"/>
    <w:next w:val="CommentText"/>
    <w:link w:val="CommentSubjectChar"/>
    <w:uiPriority w:val="99"/>
    <w:semiHidden/>
    <w:unhideWhenUsed/>
    <w:rsid w:val="00C2618C"/>
    <w:rPr>
      <w:b/>
      <w:bCs/>
    </w:rPr>
  </w:style>
  <w:style w:type="character" w:customStyle="1" w:styleId="CommentSubjectChar">
    <w:name w:val="Comment Subject Char"/>
    <w:basedOn w:val="CommentTextChar"/>
    <w:link w:val="CommentSubject"/>
    <w:uiPriority w:val="99"/>
    <w:semiHidden/>
    <w:rsid w:val="00C2618C"/>
    <w:rPr>
      <w:b/>
      <w:bCs/>
      <w:sz w:val="20"/>
      <w:szCs w:val="20"/>
    </w:rPr>
  </w:style>
  <w:style w:type="paragraph" w:styleId="BalloonText">
    <w:name w:val="Balloon Text"/>
    <w:basedOn w:val="Normal"/>
    <w:link w:val="BalloonTextChar"/>
    <w:uiPriority w:val="99"/>
    <w:semiHidden/>
    <w:unhideWhenUsed/>
    <w:rsid w:val="00C2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18C"/>
    <w:rPr>
      <w:rFonts w:ascii="Segoe UI" w:hAnsi="Segoe UI" w:cs="Segoe UI"/>
      <w:sz w:val="18"/>
      <w:szCs w:val="18"/>
    </w:rPr>
  </w:style>
  <w:style w:type="paragraph" w:customStyle="1" w:styleId="xmsonormal">
    <w:name w:val="x_msonormal"/>
    <w:basedOn w:val="Normal"/>
    <w:rsid w:val="00FA5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vel2BodyChar">
    <w:name w:val="Level 2 Body Char"/>
    <w:link w:val="Level2Body"/>
    <w:rsid w:val="005C1B32"/>
    <w:rPr>
      <w:rFonts w:ascii="Arial" w:hAnsi="Arial"/>
      <w:color w:val="000000"/>
      <w:szCs w:val="24"/>
    </w:rPr>
  </w:style>
  <w:style w:type="paragraph" w:customStyle="1" w:styleId="Level2Body">
    <w:name w:val="Level 2 Body"/>
    <w:basedOn w:val="Normal"/>
    <w:link w:val="Level2BodyChar"/>
    <w:rsid w:val="005C1B32"/>
    <w:pPr>
      <w:spacing w:after="0" w:line="240" w:lineRule="auto"/>
      <w:ind w:left="720"/>
      <w:jc w:val="both"/>
    </w:pPr>
    <w:rPr>
      <w:rFonts w:ascii="Arial" w:hAnsi="Arial"/>
      <w:color w:val="000000"/>
      <w:szCs w:val="24"/>
    </w:rPr>
  </w:style>
  <w:style w:type="paragraph" w:styleId="ListParagraph">
    <w:name w:val="List Paragraph"/>
    <w:basedOn w:val="Normal"/>
    <w:uiPriority w:val="34"/>
    <w:qFormat/>
    <w:rsid w:val="0086287C"/>
    <w:pPr>
      <w:spacing w:after="200" w:line="276" w:lineRule="auto"/>
      <w:ind w:left="720"/>
      <w:contextualSpacing/>
    </w:pPr>
  </w:style>
  <w:style w:type="paragraph" w:styleId="NormalWeb">
    <w:name w:val="Normal (Web)"/>
    <w:basedOn w:val="Normal"/>
    <w:uiPriority w:val="99"/>
    <w:unhideWhenUsed/>
    <w:rsid w:val="0086287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F2E1F"/>
    <w:pPr>
      <w:spacing w:after="0" w:line="240" w:lineRule="auto"/>
    </w:pPr>
  </w:style>
  <w:style w:type="paragraph" w:customStyle="1" w:styleId="TableParagraph">
    <w:name w:val="Table Paragraph"/>
    <w:basedOn w:val="Normal"/>
    <w:uiPriority w:val="1"/>
    <w:qFormat/>
    <w:rsid w:val="00D01652"/>
    <w:pPr>
      <w:widowControl w:val="0"/>
      <w:autoSpaceDE w:val="0"/>
      <w:autoSpaceDN w:val="0"/>
      <w:spacing w:after="0" w:line="270" w:lineRule="exact"/>
      <w:ind w:left="107"/>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E003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F567E"/>
    <w:rPr>
      <w:color w:val="0563C1" w:themeColor="hyperlink"/>
      <w:u w:val="single"/>
    </w:rPr>
  </w:style>
  <w:style w:type="paragraph" w:styleId="Header">
    <w:name w:val="header"/>
    <w:basedOn w:val="Normal"/>
    <w:link w:val="HeaderChar"/>
    <w:uiPriority w:val="99"/>
    <w:unhideWhenUsed/>
    <w:rsid w:val="002B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AC5"/>
  </w:style>
  <w:style w:type="paragraph" w:styleId="Footer">
    <w:name w:val="footer"/>
    <w:basedOn w:val="Normal"/>
    <w:link w:val="FooterChar"/>
    <w:uiPriority w:val="99"/>
    <w:unhideWhenUsed/>
    <w:rsid w:val="002B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3715">
      <w:bodyDiv w:val="1"/>
      <w:marLeft w:val="0"/>
      <w:marRight w:val="0"/>
      <w:marTop w:val="0"/>
      <w:marBottom w:val="0"/>
      <w:divBdr>
        <w:top w:val="none" w:sz="0" w:space="0" w:color="auto"/>
        <w:left w:val="none" w:sz="0" w:space="0" w:color="auto"/>
        <w:bottom w:val="none" w:sz="0" w:space="0" w:color="auto"/>
        <w:right w:val="none" w:sz="0" w:space="0" w:color="auto"/>
      </w:divBdr>
    </w:div>
    <w:div w:id="132412471">
      <w:bodyDiv w:val="1"/>
      <w:marLeft w:val="0"/>
      <w:marRight w:val="0"/>
      <w:marTop w:val="0"/>
      <w:marBottom w:val="0"/>
      <w:divBdr>
        <w:top w:val="none" w:sz="0" w:space="0" w:color="auto"/>
        <w:left w:val="none" w:sz="0" w:space="0" w:color="auto"/>
        <w:bottom w:val="none" w:sz="0" w:space="0" w:color="auto"/>
        <w:right w:val="none" w:sz="0" w:space="0" w:color="auto"/>
      </w:divBdr>
    </w:div>
    <w:div w:id="215237660">
      <w:bodyDiv w:val="1"/>
      <w:marLeft w:val="0"/>
      <w:marRight w:val="0"/>
      <w:marTop w:val="0"/>
      <w:marBottom w:val="0"/>
      <w:divBdr>
        <w:top w:val="none" w:sz="0" w:space="0" w:color="auto"/>
        <w:left w:val="none" w:sz="0" w:space="0" w:color="auto"/>
        <w:bottom w:val="none" w:sz="0" w:space="0" w:color="auto"/>
        <w:right w:val="none" w:sz="0" w:space="0" w:color="auto"/>
      </w:divBdr>
    </w:div>
    <w:div w:id="302539421">
      <w:bodyDiv w:val="1"/>
      <w:marLeft w:val="0"/>
      <w:marRight w:val="0"/>
      <w:marTop w:val="0"/>
      <w:marBottom w:val="0"/>
      <w:divBdr>
        <w:top w:val="none" w:sz="0" w:space="0" w:color="auto"/>
        <w:left w:val="none" w:sz="0" w:space="0" w:color="auto"/>
        <w:bottom w:val="none" w:sz="0" w:space="0" w:color="auto"/>
        <w:right w:val="none" w:sz="0" w:space="0" w:color="auto"/>
      </w:divBdr>
    </w:div>
    <w:div w:id="360860246">
      <w:bodyDiv w:val="1"/>
      <w:marLeft w:val="0"/>
      <w:marRight w:val="0"/>
      <w:marTop w:val="0"/>
      <w:marBottom w:val="0"/>
      <w:divBdr>
        <w:top w:val="none" w:sz="0" w:space="0" w:color="auto"/>
        <w:left w:val="none" w:sz="0" w:space="0" w:color="auto"/>
        <w:bottom w:val="none" w:sz="0" w:space="0" w:color="auto"/>
        <w:right w:val="none" w:sz="0" w:space="0" w:color="auto"/>
      </w:divBdr>
    </w:div>
    <w:div w:id="388186302">
      <w:bodyDiv w:val="1"/>
      <w:marLeft w:val="0"/>
      <w:marRight w:val="0"/>
      <w:marTop w:val="0"/>
      <w:marBottom w:val="0"/>
      <w:divBdr>
        <w:top w:val="none" w:sz="0" w:space="0" w:color="auto"/>
        <w:left w:val="none" w:sz="0" w:space="0" w:color="auto"/>
        <w:bottom w:val="none" w:sz="0" w:space="0" w:color="auto"/>
        <w:right w:val="none" w:sz="0" w:space="0" w:color="auto"/>
      </w:divBdr>
    </w:div>
    <w:div w:id="466551193">
      <w:bodyDiv w:val="1"/>
      <w:marLeft w:val="0"/>
      <w:marRight w:val="0"/>
      <w:marTop w:val="0"/>
      <w:marBottom w:val="0"/>
      <w:divBdr>
        <w:top w:val="none" w:sz="0" w:space="0" w:color="auto"/>
        <w:left w:val="none" w:sz="0" w:space="0" w:color="auto"/>
        <w:bottom w:val="none" w:sz="0" w:space="0" w:color="auto"/>
        <w:right w:val="none" w:sz="0" w:space="0" w:color="auto"/>
      </w:divBdr>
    </w:div>
    <w:div w:id="479350491">
      <w:bodyDiv w:val="1"/>
      <w:marLeft w:val="0"/>
      <w:marRight w:val="0"/>
      <w:marTop w:val="0"/>
      <w:marBottom w:val="0"/>
      <w:divBdr>
        <w:top w:val="none" w:sz="0" w:space="0" w:color="auto"/>
        <w:left w:val="none" w:sz="0" w:space="0" w:color="auto"/>
        <w:bottom w:val="none" w:sz="0" w:space="0" w:color="auto"/>
        <w:right w:val="none" w:sz="0" w:space="0" w:color="auto"/>
      </w:divBdr>
    </w:div>
    <w:div w:id="481702093">
      <w:bodyDiv w:val="1"/>
      <w:marLeft w:val="0"/>
      <w:marRight w:val="0"/>
      <w:marTop w:val="0"/>
      <w:marBottom w:val="0"/>
      <w:divBdr>
        <w:top w:val="none" w:sz="0" w:space="0" w:color="auto"/>
        <w:left w:val="none" w:sz="0" w:space="0" w:color="auto"/>
        <w:bottom w:val="none" w:sz="0" w:space="0" w:color="auto"/>
        <w:right w:val="none" w:sz="0" w:space="0" w:color="auto"/>
      </w:divBdr>
    </w:div>
    <w:div w:id="698824196">
      <w:bodyDiv w:val="1"/>
      <w:marLeft w:val="0"/>
      <w:marRight w:val="0"/>
      <w:marTop w:val="0"/>
      <w:marBottom w:val="0"/>
      <w:divBdr>
        <w:top w:val="none" w:sz="0" w:space="0" w:color="auto"/>
        <w:left w:val="none" w:sz="0" w:space="0" w:color="auto"/>
        <w:bottom w:val="none" w:sz="0" w:space="0" w:color="auto"/>
        <w:right w:val="none" w:sz="0" w:space="0" w:color="auto"/>
      </w:divBdr>
    </w:div>
    <w:div w:id="799953732">
      <w:bodyDiv w:val="1"/>
      <w:marLeft w:val="0"/>
      <w:marRight w:val="0"/>
      <w:marTop w:val="0"/>
      <w:marBottom w:val="0"/>
      <w:divBdr>
        <w:top w:val="none" w:sz="0" w:space="0" w:color="auto"/>
        <w:left w:val="none" w:sz="0" w:space="0" w:color="auto"/>
        <w:bottom w:val="none" w:sz="0" w:space="0" w:color="auto"/>
        <w:right w:val="none" w:sz="0" w:space="0" w:color="auto"/>
      </w:divBdr>
    </w:div>
    <w:div w:id="976641964">
      <w:bodyDiv w:val="1"/>
      <w:marLeft w:val="0"/>
      <w:marRight w:val="0"/>
      <w:marTop w:val="0"/>
      <w:marBottom w:val="0"/>
      <w:divBdr>
        <w:top w:val="none" w:sz="0" w:space="0" w:color="auto"/>
        <w:left w:val="none" w:sz="0" w:space="0" w:color="auto"/>
        <w:bottom w:val="none" w:sz="0" w:space="0" w:color="auto"/>
        <w:right w:val="none" w:sz="0" w:space="0" w:color="auto"/>
      </w:divBdr>
    </w:div>
    <w:div w:id="990864153">
      <w:bodyDiv w:val="1"/>
      <w:marLeft w:val="0"/>
      <w:marRight w:val="0"/>
      <w:marTop w:val="0"/>
      <w:marBottom w:val="0"/>
      <w:divBdr>
        <w:top w:val="none" w:sz="0" w:space="0" w:color="auto"/>
        <w:left w:val="none" w:sz="0" w:space="0" w:color="auto"/>
        <w:bottom w:val="none" w:sz="0" w:space="0" w:color="auto"/>
        <w:right w:val="none" w:sz="0" w:space="0" w:color="auto"/>
      </w:divBdr>
    </w:div>
    <w:div w:id="1002396331">
      <w:bodyDiv w:val="1"/>
      <w:marLeft w:val="0"/>
      <w:marRight w:val="0"/>
      <w:marTop w:val="0"/>
      <w:marBottom w:val="0"/>
      <w:divBdr>
        <w:top w:val="none" w:sz="0" w:space="0" w:color="auto"/>
        <w:left w:val="none" w:sz="0" w:space="0" w:color="auto"/>
        <w:bottom w:val="none" w:sz="0" w:space="0" w:color="auto"/>
        <w:right w:val="none" w:sz="0" w:space="0" w:color="auto"/>
      </w:divBdr>
    </w:div>
    <w:div w:id="1168982799">
      <w:bodyDiv w:val="1"/>
      <w:marLeft w:val="0"/>
      <w:marRight w:val="0"/>
      <w:marTop w:val="0"/>
      <w:marBottom w:val="0"/>
      <w:divBdr>
        <w:top w:val="none" w:sz="0" w:space="0" w:color="auto"/>
        <w:left w:val="none" w:sz="0" w:space="0" w:color="auto"/>
        <w:bottom w:val="none" w:sz="0" w:space="0" w:color="auto"/>
        <w:right w:val="none" w:sz="0" w:space="0" w:color="auto"/>
      </w:divBdr>
    </w:div>
    <w:div w:id="1318337270">
      <w:bodyDiv w:val="1"/>
      <w:marLeft w:val="0"/>
      <w:marRight w:val="0"/>
      <w:marTop w:val="0"/>
      <w:marBottom w:val="0"/>
      <w:divBdr>
        <w:top w:val="none" w:sz="0" w:space="0" w:color="auto"/>
        <w:left w:val="none" w:sz="0" w:space="0" w:color="auto"/>
        <w:bottom w:val="none" w:sz="0" w:space="0" w:color="auto"/>
        <w:right w:val="none" w:sz="0" w:space="0" w:color="auto"/>
      </w:divBdr>
    </w:div>
    <w:div w:id="1386640714">
      <w:bodyDiv w:val="1"/>
      <w:marLeft w:val="0"/>
      <w:marRight w:val="0"/>
      <w:marTop w:val="0"/>
      <w:marBottom w:val="0"/>
      <w:divBdr>
        <w:top w:val="none" w:sz="0" w:space="0" w:color="auto"/>
        <w:left w:val="none" w:sz="0" w:space="0" w:color="auto"/>
        <w:bottom w:val="none" w:sz="0" w:space="0" w:color="auto"/>
        <w:right w:val="none" w:sz="0" w:space="0" w:color="auto"/>
      </w:divBdr>
    </w:div>
    <w:div w:id="1409377507">
      <w:bodyDiv w:val="1"/>
      <w:marLeft w:val="0"/>
      <w:marRight w:val="0"/>
      <w:marTop w:val="0"/>
      <w:marBottom w:val="0"/>
      <w:divBdr>
        <w:top w:val="none" w:sz="0" w:space="0" w:color="auto"/>
        <w:left w:val="none" w:sz="0" w:space="0" w:color="auto"/>
        <w:bottom w:val="none" w:sz="0" w:space="0" w:color="auto"/>
        <w:right w:val="none" w:sz="0" w:space="0" w:color="auto"/>
      </w:divBdr>
    </w:div>
    <w:div w:id="1414008369">
      <w:bodyDiv w:val="1"/>
      <w:marLeft w:val="0"/>
      <w:marRight w:val="0"/>
      <w:marTop w:val="0"/>
      <w:marBottom w:val="0"/>
      <w:divBdr>
        <w:top w:val="none" w:sz="0" w:space="0" w:color="auto"/>
        <w:left w:val="none" w:sz="0" w:space="0" w:color="auto"/>
        <w:bottom w:val="none" w:sz="0" w:space="0" w:color="auto"/>
        <w:right w:val="none" w:sz="0" w:space="0" w:color="auto"/>
      </w:divBdr>
    </w:div>
    <w:div w:id="1432780384">
      <w:bodyDiv w:val="1"/>
      <w:marLeft w:val="0"/>
      <w:marRight w:val="0"/>
      <w:marTop w:val="0"/>
      <w:marBottom w:val="0"/>
      <w:divBdr>
        <w:top w:val="none" w:sz="0" w:space="0" w:color="auto"/>
        <w:left w:val="none" w:sz="0" w:space="0" w:color="auto"/>
        <w:bottom w:val="none" w:sz="0" w:space="0" w:color="auto"/>
        <w:right w:val="none" w:sz="0" w:space="0" w:color="auto"/>
      </w:divBdr>
    </w:div>
    <w:div w:id="1524511487">
      <w:bodyDiv w:val="1"/>
      <w:marLeft w:val="0"/>
      <w:marRight w:val="0"/>
      <w:marTop w:val="0"/>
      <w:marBottom w:val="0"/>
      <w:divBdr>
        <w:top w:val="none" w:sz="0" w:space="0" w:color="auto"/>
        <w:left w:val="none" w:sz="0" w:space="0" w:color="auto"/>
        <w:bottom w:val="none" w:sz="0" w:space="0" w:color="auto"/>
        <w:right w:val="none" w:sz="0" w:space="0" w:color="auto"/>
      </w:divBdr>
    </w:div>
    <w:div w:id="1586915022">
      <w:bodyDiv w:val="1"/>
      <w:marLeft w:val="0"/>
      <w:marRight w:val="0"/>
      <w:marTop w:val="0"/>
      <w:marBottom w:val="0"/>
      <w:divBdr>
        <w:top w:val="none" w:sz="0" w:space="0" w:color="auto"/>
        <w:left w:val="none" w:sz="0" w:space="0" w:color="auto"/>
        <w:bottom w:val="none" w:sz="0" w:space="0" w:color="auto"/>
        <w:right w:val="none" w:sz="0" w:space="0" w:color="auto"/>
      </w:divBdr>
    </w:div>
    <w:div w:id="1592735377">
      <w:bodyDiv w:val="1"/>
      <w:marLeft w:val="0"/>
      <w:marRight w:val="0"/>
      <w:marTop w:val="0"/>
      <w:marBottom w:val="0"/>
      <w:divBdr>
        <w:top w:val="none" w:sz="0" w:space="0" w:color="auto"/>
        <w:left w:val="none" w:sz="0" w:space="0" w:color="auto"/>
        <w:bottom w:val="none" w:sz="0" w:space="0" w:color="auto"/>
        <w:right w:val="none" w:sz="0" w:space="0" w:color="auto"/>
      </w:divBdr>
    </w:div>
    <w:div w:id="1649020579">
      <w:bodyDiv w:val="1"/>
      <w:marLeft w:val="0"/>
      <w:marRight w:val="0"/>
      <w:marTop w:val="0"/>
      <w:marBottom w:val="0"/>
      <w:divBdr>
        <w:top w:val="none" w:sz="0" w:space="0" w:color="auto"/>
        <w:left w:val="none" w:sz="0" w:space="0" w:color="auto"/>
        <w:bottom w:val="none" w:sz="0" w:space="0" w:color="auto"/>
        <w:right w:val="none" w:sz="0" w:space="0" w:color="auto"/>
      </w:divBdr>
    </w:div>
    <w:div w:id="1679887685">
      <w:bodyDiv w:val="1"/>
      <w:marLeft w:val="0"/>
      <w:marRight w:val="0"/>
      <w:marTop w:val="0"/>
      <w:marBottom w:val="0"/>
      <w:divBdr>
        <w:top w:val="none" w:sz="0" w:space="0" w:color="auto"/>
        <w:left w:val="none" w:sz="0" w:space="0" w:color="auto"/>
        <w:bottom w:val="none" w:sz="0" w:space="0" w:color="auto"/>
        <w:right w:val="none" w:sz="0" w:space="0" w:color="auto"/>
      </w:divBdr>
    </w:div>
    <w:div w:id="1766000742">
      <w:bodyDiv w:val="1"/>
      <w:marLeft w:val="0"/>
      <w:marRight w:val="0"/>
      <w:marTop w:val="0"/>
      <w:marBottom w:val="0"/>
      <w:divBdr>
        <w:top w:val="none" w:sz="0" w:space="0" w:color="auto"/>
        <w:left w:val="none" w:sz="0" w:space="0" w:color="auto"/>
        <w:bottom w:val="none" w:sz="0" w:space="0" w:color="auto"/>
        <w:right w:val="none" w:sz="0" w:space="0" w:color="auto"/>
      </w:divBdr>
    </w:div>
    <w:div w:id="1792506356">
      <w:bodyDiv w:val="1"/>
      <w:marLeft w:val="0"/>
      <w:marRight w:val="0"/>
      <w:marTop w:val="0"/>
      <w:marBottom w:val="0"/>
      <w:divBdr>
        <w:top w:val="none" w:sz="0" w:space="0" w:color="auto"/>
        <w:left w:val="none" w:sz="0" w:space="0" w:color="auto"/>
        <w:bottom w:val="none" w:sz="0" w:space="0" w:color="auto"/>
        <w:right w:val="none" w:sz="0" w:space="0" w:color="auto"/>
      </w:divBdr>
    </w:div>
    <w:div w:id="1796027098">
      <w:bodyDiv w:val="1"/>
      <w:marLeft w:val="0"/>
      <w:marRight w:val="0"/>
      <w:marTop w:val="0"/>
      <w:marBottom w:val="0"/>
      <w:divBdr>
        <w:top w:val="none" w:sz="0" w:space="0" w:color="auto"/>
        <w:left w:val="none" w:sz="0" w:space="0" w:color="auto"/>
        <w:bottom w:val="none" w:sz="0" w:space="0" w:color="auto"/>
        <w:right w:val="none" w:sz="0" w:space="0" w:color="auto"/>
      </w:divBdr>
    </w:div>
    <w:div w:id="1820534255">
      <w:bodyDiv w:val="1"/>
      <w:marLeft w:val="0"/>
      <w:marRight w:val="0"/>
      <w:marTop w:val="0"/>
      <w:marBottom w:val="0"/>
      <w:divBdr>
        <w:top w:val="none" w:sz="0" w:space="0" w:color="auto"/>
        <w:left w:val="none" w:sz="0" w:space="0" w:color="auto"/>
        <w:bottom w:val="none" w:sz="0" w:space="0" w:color="auto"/>
        <w:right w:val="none" w:sz="0" w:space="0" w:color="auto"/>
      </w:divBdr>
    </w:div>
    <w:div w:id="1845590380">
      <w:bodyDiv w:val="1"/>
      <w:marLeft w:val="0"/>
      <w:marRight w:val="0"/>
      <w:marTop w:val="0"/>
      <w:marBottom w:val="0"/>
      <w:divBdr>
        <w:top w:val="none" w:sz="0" w:space="0" w:color="auto"/>
        <w:left w:val="none" w:sz="0" w:space="0" w:color="auto"/>
        <w:bottom w:val="none" w:sz="0" w:space="0" w:color="auto"/>
        <w:right w:val="none" w:sz="0" w:space="0" w:color="auto"/>
      </w:divBdr>
    </w:div>
    <w:div w:id="2003116604">
      <w:bodyDiv w:val="1"/>
      <w:marLeft w:val="0"/>
      <w:marRight w:val="0"/>
      <w:marTop w:val="0"/>
      <w:marBottom w:val="0"/>
      <w:divBdr>
        <w:top w:val="none" w:sz="0" w:space="0" w:color="auto"/>
        <w:left w:val="none" w:sz="0" w:space="0" w:color="auto"/>
        <w:bottom w:val="none" w:sz="0" w:space="0" w:color="auto"/>
        <w:right w:val="none" w:sz="0" w:space="0" w:color="auto"/>
      </w:divBdr>
    </w:div>
    <w:div w:id="2073700095">
      <w:bodyDiv w:val="1"/>
      <w:marLeft w:val="0"/>
      <w:marRight w:val="0"/>
      <w:marTop w:val="0"/>
      <w:marBottom w:val="0"/>
      <w:divBdr>
        <w:top w:val="none" w:sz="0" w:space="0" w:color="auto"/>
        <w:left w:val="none" w:sz="0" w:space="0" w:color="auto"/>
        <w:bottom w:val="none" w:sz="0" w:space="0" w:color="auto"/>
        <w:right w:val="none" w:sz="0" w:space="0" w:color="auto"/>
      </w:divBdr>
    </w:div>
    <w:div w:id="20830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82d7e6eabaaf0a694ddf745d8d417703">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10d5f7bf860e4684ea6214f801b8732a"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Bradley Murphy</DisplayName>
        <AccountId>27721</AccountId>
        <AccountType/>
      </UserInfo>
    </Buyer>
    <Deviation xmlns="145fd85a-e86f-4392-ab15-fd3ffc15a3e1">No</Deviation>
    <Programs xmlns="145fd85a-e86f-4392-ab15-fd3ffc15a3e1">Kristina Hearn</Programs>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The Medicaid program needs a qualified technical solution to replace the current Medicaid Drug Rebate (MDR) system to facilitate the invoicing and collection of drug rebates from over 500 current drug labelers for the State of Nebraska. Migrating to a modernized, technically supported solution is critical for the continued operations of the drug rebate program, to continually generate a funding source for the Medicaid general fund as well as necessary to return proportional federal rebate dollars.</DocumentSetDescription>
    <Backup_x0020_Buyer xmlns="e3709f45-ee57-4ddf-8078-855eb8d761aa" xsi:nil="true"/>
    <Stakeholders xmlns="145fd85a-e86f-4392-ab15-fd3ffc15a3e1">
      <UserInfo>
        <DisplayName>Danny Vanourney</DisplayName>
        <AccountId>3123</AccountId>
        <AccountType/>
      </UserInfo>
      <UserInfo>
        <DisplayName>Lee Stutzman</DisplayName>
        <AccountId>27291</AccountId>
        <AccountType/>
      </UserInfo>
      <UserInfo>
        <DisplayName>Jeremy Brunssen</DisplayName>
        <AccountId>14437</AccountId>
        <AccountType/>
      </UserInfo>
      <UserInfo>
        <DisplayName>Nathaniel Bonilla</DisplayName>
        <AccountId>30088</AccountId>
        <AccountType/>
      </UserInfo>
    </Stakeholders>
    <Release_x0020_Date xmlns="145fd85a-e86f-4392-ab15-fd3ffc15a3e1" xsi:nil="true"/>
    <Est._x0020__x0024__x0020_Amount xmlns="145fd85a-e86f-4392-ab15-fd3ffc15a3e1">2300000</Est._x0020__x0024__x0020_Amount>
    <Date_x0020_sent_x0020_to_x0020_DAS xmlns="e3709f45-ee57-4ddf-8078-855eb8d761aa" xsi:nil="true"/>
    <Funding_x0020_Source xmlns="145fd85a-e86f-4392-ab15-fd3ffc15a3e1">state and federal funds</Funding_x0020_Source>
    <DAS_x0020_Buyer xmlns="145fd85a-e86f-4392-ab15-fd3ffc15a3e1" xsi:nil="true"/>
    <Bid_x0020_Type xmlns="145fd85a-e86f-4392-ab15-fd3ffc15a3e1">Draft RFP</Bid_x0020_Type>
    <RFP_x0020_Contacts xmlns="145fd85a-e86f-4392-ab15-fd3ffc15a3e1">
      <UserInfo>
        <DisplayName>Kristina Hearn</DisplayName>
        <AccountId>25191</AccountId>
        <AccountType/>
      </UserInfo>
      <UserInfo>
        <DisplayName>Ellen Vitztum</DisplayName>
        <AccountId>27118</AccountId>
        <AccountType/>
      </UserInfo>
      <UserInfo>
        <DisplayName>Lee Stutzman</DisplayName>
        <AccountId>27291</AccountId>
        <AccountType/>
      </UserInfo>
      <UserInfo>
        <DisplayName>Nathaniel Bonilla</DisplayName>
        <AccountId>30088</AccountId>
        <AccountType/>
      </UserInfo>
    </RFP_x0020_Contacts>
    <RoutingRuleDescription xmlns="http://schemas.microsoft.com/sharepoint/v3" xsi:nil="true"/>
    <Cost_x0020_Avoidance xmlns="145fd85a-e86f-4392-ab15-fd3ffc15a3e1" xsi:nil="true"/>
    <Target_x0020_Date xmlns="145fd85a-e86f-4392-ab15-fd3ffc15a3e1">2027-01-01T06:00:00+00:00</Target_x0020_Date>
    <Divisions xmlns="145fd85a-e86f-4392-ab15-fd3ffc15a3e1">
      <Value>MLTC</Value>
    </Divisions>
    <RFP_x0020_Status xmlns="145fd85a-e86f-4392-ab15-fd3ffc15a3e1">OK to Load</RFP_x0020_Status>
    <Attachments_x003f_ xmlns="145fd85a-e86f-4392-ab15-fd3ffc15a3e1" xsi:nil="true"/>
    <SPB_x0020_Processed xmlns="145fd85a-e86f-4392-ab15-fd3ffc15a3e1">Agency</SPB_x0020_Processed>
    <Cost_x0020_Avoidance_x0020_Method xmlns="145fd85a-e86f-4392-ab15-fd3ffc15a3e1" xsi:nil="true"/>
    <Lead_x0020_OPG_x0020_Contact xmlns="e3709f45-ee57-4ddf-8078-855eb8d761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5DA9374-782D-46F1-807E-ECA37F0BEE3A}">
  <ds:schemaRefs>
    <ds:schemaRef ds:uri="http://schemas.openxmlformats.org/officeDocument/2006/bibliography"/>
  </ds:schemaRefs>
</ds:datastoreItem>
</file>

<file path=customXml/itemProps2.xml><?xml version="1.0" encoding="utf-8"?>
<ds:datastoreItem xmlns:ds="http://schemas.openxmlformats.org/officeDocument/2006/customXml" ds:itemID="{A74AB5D2-FB12-4540-83D8-E06A1EA0BA5D}"/>
</file>

<file path=customXml/itemProps3.xml><?xml version="1.0" encoding="utf-8"?>
<ds:datastoreItem xmlns:ds="http://schemas.openxmlformats.org/officeDocument/2006/customXml" ds:itemID="{1E5C24E2-3DF4-4F21-A975-C5BF8AB43400}">
  <ds:schemaRefs>
    <ds:schemaRef ds:uri="http://schemas.microsoft.com/office/2006/metadata/properties"/>
    <ds:schemaRef ds:uri="http://schemas.microsoft.com/office/infopath/2007/PartnerControls"/>
    <ds:schemaRef ds:uri="b5cadc5a-b2d0-4bc7-bf64-8881e0813673"/>
    <ds:schemaRef ds:uri="f5a118ba-101a-4924-85fd-e6a500c832e6"/>
  </ds:schemaRefs>
</ds:datastoreItem>
</file>

<file path=customXml/itemProps4.xml><?xml version="1.0" encoding="utf-8"?>
<ds:datastoreItem xmlns:ds="http://schemas.openxmlformats.org/officeDocument/2006/customXml" ds:itemID="{A65202F6-1AAD-4A47-B459-A40A37567030}">
  <ds:schemaRefs>
    <ds:schemaRef ds:uri="http://schemas.microsoft.com/sharepoint/v3/contenttype/forms"/>
  </ds:schemaRefs>
</ds:datastoreItem>
</file>

<file path=customXml/itemProps5.xml><?xml version="1.0" encoding="utf-8"?>
<ds:datastoreItem xmlns:ds="http://schemas.openxmlformats.org/officeDocument/2006/customXml" ds:itemID="{39C3731D-8048-491A-BAAB-2E3A75926A0A}"/>
</file>

<file path=docProps/app.xml><?xml version="1.0" encoding="utf-8"?>
<Properties xmlns="http://schemas.openxmlformats.org/officeDocument/2006/extended-properties" xmlns:vt="http://schemas.openxmlformats.org/officeDocument/2006/docPropsVTypes">
  <Template>Normal</Template>
  <TotalTime>18</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D - MDR Performance Guarantees</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DAS Attachment D - MDR Performance Guarantees</dc:title>
  <dc:subject/>
  <dc:creator>Mary McMichael</dc:creator>
  <cp:keywords/>
  <dc:description/>
  <cp:lastModifiedBy>Hearn, Kristina</cp:lastModifiedBy>
  <cp:revision>10</cp:revision>
  <cp:lastPrinted>2019-06-03T18:40:00Z</cp:lastPrinted>
  <dcterms:created xsi:type="dcterms:W3CDTF">2026-03-13T20:59:00Z</dcterms:created>
  <dcterms:modified xsi:type="dcterms:W3CDTF">2026-03-21T14:25:00Z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NewReviewCycle">
    <vt:lpwstr/>
  </property>
  <property fmtid="{D5CDD505-2E9C-101B-9397-08002B2CF9AE}" pid="4" name="MediaServiceImageTags">
    <vt:lpwstr/>
  </property>
  <property fmtid="{D5CDD505-2E9C-101B-9397-08002B2CF9AE}" pid="5" name="docLang">
    <vt:lpwstr>en</vt:lpwstr>
  </property>
  <property fmtid="{D5CDD505-2E9C-101B-9397-08002B2CF9AE}" pid="6" name="_docset_NoMedatataSyncRequired">
    <vt:lpwstr>False</vt:lpwstr>
  </property>
</Properties>
</file>